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9C" w:rsidRPr="0082429C" w:rsidRDefault="00772748" w:rsidP="00772748">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w:t>
      </w:r>
    </w:p>
    <w:p w:rsidR="0082429C" w:rsidRPr="0082429C" w:rsidRDefault="0082429C" w:rsidP="0082429C">
      <w:pPr>
        <w:suppressAutoHyphens/>
        <w:spacing w:after="0" w:line="240" w:lineRule="auto"/>
        <w:jc w:val="center"/>
        <w:rPr>
          <w:rFonts w:ascii="Times New Roman" w:eastAsia="Times New Roman" w:hAnsi="Times New Roman" w:cs="Times New Roman"/>
          <w:sz w:val="28"/>
          <w:szCs w:val="28"/>
          <w:lang w:eastAsia="ar-SA"/>
        </w:rPr>
      </w:pPr>
      <w:r w:rsidRPr="0082429C">
        <w:rPr>
          <w:rFonts w:ascii="Times New Roman" w:eastAsia="Times New Roman" w:hAnsi="Times New Roman" w:cs="Times New Roman"/>
          <w:sz w:val="28"/>
          <w:szCs w:val="28"/>
          <w:lang w:eastAsia="ar-SA"/>
        </w:rPr>
        <w:t>МУНИЦИПАЛЬНОЕ ОБРАЗОВАНИЕ</w:t>
      </w:r>
    </w:p>
    <w:p w:rsidR="0082429C" w:rsidRPr="0082429C" w:rsidRDefault="0082429C" w:rsidP="0082429C">
      <w:pPr>
        <w:spacing w:after="0" w:line="240" w:lineRule="auto"/>
        <w:jc w:val="center"/>
        <w:rPr>
          <w:rFonts w:ascii="Times New Roman" w:eastAsia="Times New Roman" w:hAnsi="Times New Roman" w:cs="Times New Roman"/>
          <w:sz w:val="28"/>
          <w:szCs w:val="28"/>
        </w:rPr>
      </w:pPr>
      <w:r w:rsidRPr="0082429C">
        <w:rPr>
          <w:rFonts w:ascii="Times New Roman" w:eastAsia="Times New Roman" w:hAnsi="Times New Roman" w:cs="Times New Roman"/>
          <w:sz w:val="28"/>
          <w:szCs w:val="28"/>
        </w:rPr>
        <w:t>ХАНТЫ-МАНСИЙСКИЙ РАЙОН</w:t>
      </w:r>
    </w:p>
    <w:p w:rsidR="0082429C" w:rsidRPr="0082429C" w:rsidRDefault="0082429C" w:rsidP="0082429C">
      <w:pPr>
        <w:spacing w:after="0" w:line="240" w:lineRule="auto"/>
        <w:jc w:val="center"/>
        <w:rPr>
          <w:rFonts w:ascii="Times New Roman" w:eastAsia="Times New Roman" w:hAnsi="Times New Roman" w:cs="Times New Roman"/>
          <w:sz w:val="28"/>
          <w:szCs w:val="28"/>
        </w:rPr>
      </w:pPr>
      <w:r w:rsidRPr="0082429C">
        <w:rPr>
          <w:rFonts w:ascii="Times New Roman" w:eastAsia="Times New Roman" w:hAnsi="Times New Roman" w:cs="Times New Roman"/>
          <w:sz w:val="28"/>
          <w:szCs w:val="28"/>
        </w:rPr>
        <w:t>Ханты-Мансийский автономный округ – Югра</w:t>
      </w:r>
    </w:p>
    <w:p w:rsidR="0082429C" w:rsidRPr="0082429C" w:rsidRDefault="0082429C" w:rsidP="0082429C">
      <w:pPr>
        <w:spacing w:after="0" w:line="240" w:lineRule="auto"/>
        <w:jc w:val="center"/>
        <w:rPr>
          <w:rFonts w:ascii="Times New Roman" w:eastAsia="Times New Roman" w:hAnsi="Times New Roman" w:cs="Times New Roman"/>
          <w:sz w:val="28"/>
          <w:szCs w:val="28"/>
        </w:rPr>
      </w:pPr>
    </w:p>
    <w:p w:rsidR="0082429C" w:rsidRPr="0082429C" w:rsidRDefault="0082429C" w:rsidP="0082429C">
      <w:pPr>
        <w:spacing w:after="0" w:line="240" w:lineRule="auto"/>
        <w:jc w:val="center"/>
        <w:rPr>
          <w:rFonts w:ascii="Times New Roman" w:eastAsia="Times New Roman" w:hAnsi="Times New Roman" w:cs="Times New Roman"/>
          <w:b/>
          <w:sz w:val="28"/>
          <w:szCs w:val="28"/>
        </w:rPr>
      </w:pPr>
      <w:r w:rsidRPr="0082429C">
        <w:rPr>
          <w:rFonts w:ascii="Times New Roman" w:eastAsia="Times New Roman" w:hAnsi="Times New Roman" w:cs="Times New Roman"/>
          <w:b/>
          <w:sz w:val="28"/>
          <w:szCs w:val="28"/>
        </w:rPr>
        <w:t>АДМИНИСТРАЦИЯ ХАНТЫ-МАНСИЙСКОГО РАЙОНА</w:t>
      </w:r>
    </w:p>
    <w:p w:rsidR="0082429C" w:rsidRPr="0082429C" w:rsidRDefault="0082429C" w:rsidP="0082429C">
      <w:pPr>
        <w:spacing w:after="0" w:line="240" w:lineRule="auto"/>
        <w:jc w:val="center"/>
        <w:rPr>
          <w:rFonts w:ascii="Times New Roman" w:eastAsia="Times New Roman" w:hAnsi="Times New Roman" w:cs="Times New Roman"/>
          <w:b/>
          <w:sz w:val="28"/>
          <w:szCs w:val="28"/>
        </w:rPr>
      </w:pPr>
    </w:p>
    <w:p w:rsidR="0082429C" w:rsidRPr="0082429C" w:rsidRDefault="0082429C" w:rsidP="0082429C">
      <w:pPr>
        <w:spacing w:after="0" w:line="240" w:lineRule="auto"/>
        <w:jc w:val="center"/>
        <w:rPr>
          <w:rFonts w:ascii="Times New Roman" w:eastAsia="Times New Roman" w:hAnsi="Times New Roman" w:cs="Times New Roman"/>
          <w:b/>
          <w:sz w:val="28"/>
          <w:szCs w:val="28"/>
        </w:rPr>
      </w:pPr>
      <w:r w:rsidRPr="0082429C">
        <w:rPr>
          <w:rFonts w:ascii="Times New Roman" w:eastAsia="Times New Roman" w:hAnsi="Times New Roman" w:cs="Times New Roman"/>
          <w:b/>
          <w:sz w:val="28"/>
          <w:szCs w:val="28"/>
        </w:rPr>
        <w:t>П О С Т А Н О В Л Е Н И Е</w:t>
      </w:r>
    </w:p>
    <w:p w:rsidR="0082429C" w:rsidRPr="0082429C" w:rsidRDefault="0082429C" w:rsidP="0082429C">
      <w:pPr>
        <w:spacing w:after="0" w:line="240" w:lineRule="auto"/>
        <w:jc w:val="center"/>
        <w:rPr>
          <w:rFonts w:ascii="Times New Roman" w:eastAsia="Times New Roman" w:hAnsi="Times New Roman" w:cs="Times New Roman"/>
          <w:sz w:val="28"/>
          <w:szCs w:val="28"/>
        </w:rPr>
      </w:pPr>
    </w:p>
    <w:p w:rsidR="0082429C" w:rsidRPr="0082429C" w:rsidRDefault="0082429C" w:rsidP="0082429C">
      <w:pPr>
        <w:spacing w:after="0" w:line="240" w:lineRule="auto"/>
        <w:rPr>
          <w:rFonts w:ascii="Times New Roman" w:eastAsia="Times New Roman" w:hAnsi="Times New Roman" w:cs="Times New Roman"/>
          <w:sz w:val="28"/>
          <w:szCs w:val="28"/>
        </w:rPr>
      </w:pPr>
      <w:proofErr w:type="gramStart"/>
      <w:r w:rsidRPr="0082429C">
        <w:rPr>
          <w:rFonts w:ascii="Times New Roman" w:eastAsia="Times New Roman" w:hAnsi="Times New Roman" w:cs="Times New Roman"/>
          <w:sz w:val="28"/>
          <w:szCs w:val="28"/>
        </w:rPr>
        <w:t>от</w:t>
      </w:r>
      <w:proofErr w:type="gramEnd"/>
      <w:r w:rsidRPr="0082429C">
        <w:rPr>
          <w:rFonts w:ascii="Times New Roman" w:eastAsia="Times New Roman" w:hAnsi="Times New Roman" w:cs="Times New Roman"/>
          <w:sz w:val="28"/>
          <w:szCs w:val="28"/>
        </w:rPr>
        <w:t xml:space="preserve"> </w:t>
      </w:r>
      <w:r w:rsidR="00772748">
        <w:rPr>
          <w:rFonts w:ascii="Times New Roman" w:eastAsia="Times New Roman" w:hAnsi="Times New Roman" w:cs="Times New Roman"/>
          <w:sz w:val="28"/>
          <w:szCs w:val="28"/>
        </w:rPr>
        <w:t>__________________</w:t>
      </w:r>
      <w:r w:rsidRPr="0082429C">
        <w:rPr>
          <w:rFonts w:ascii="Times New Roman" w:eastAsia="Times New Roman" w:hAnsi="Times New Roman" w:cs="Times New Roman"/>
          <w:sz w:val="28"/>
          <w:szCs w:val="28"/>
        </w:rPr>
        <w:t xml:space="preserve">                             </w:t>
      </w:r>
      <w:r w:rsidR="00772748">
        <w:rPr>
          <w:rFonts w:ascii="Times New Roman" w:eastAsia="Times New Roman" w:hAnsi="Times New Roman" w:cs="Times New Roman"/>
          <w:sz w:val="28"/>
          <w:szCs w:val="28"/>
        </w:rPr>
        <w:t xml:space="preserve">              </w:t>
      </w:r>
      <w:r w:rsidRPr="0082429C">
        <w:rPr>
          <w:rFonts w:ascii="Times New Roman" w:eastAsia="Times New Roman" w:hAnsi="Times New Roman" w:cs="Times New Roman"/>
          <w:sz w:val="28"/>
          <w:szCs w:val="28"/>
        </w:rPr>
        <w:t xml:space="preserve">  </w:t>
      </w:r>
      <w:r w:rsidR="00772748">
        <w:rPr>
          <w:rFonts w:ascii="Times New Roman" w:eastAsia="Times New Roman" w:hAnsi="Times New Roman" w:cs="Times New Roman"/>
          <w:sz w:val="28"/>
          <w:szCs w:val="28"/>
        </w:rPr>
        <w:t xml:space="preserve">                               </w:t>
      </w:r>
      <w:r w:rsidRPr="0082429C">
        <w:rPr>
          <w:rFonts w:ascii="Times New Roman" w:eastAsia="Times New Roman" w:hAnsi="Times New Roman" w:cs="Times New Roman"/>
          <w:sz w:val="28"/>
          <w:szCs w:val="28"/>
        </w:rPr>
        <w:t xml:space="preserve">№ </w:t>
      </w:r>
      <w:r w:rsidR="00772748">
        <w:rPr>
          <w:rFonts w:ascii="Times New Roman" w:eastAsia="Times New Roman" w:hAnsi="Times New Roman" w:cs="Times New Roman"/>
          <w:sz w:val="28"/>
          <w:szCs w:val="28"/>
        </w:rPr>
        <w:t>____</w:t>
      </w:r>
    </w:p>
    <w:p w:rsidR="0082429C" w:rsidRPr="0082429C" w:rsidRDefault="0082429C" w:rsidP="0082429C">
      <w:pPr>
        <w:tabs>
          <w:tab w:val="left" w:pos="5103"/>
        </w:tabs>
        <w:spacing w:after="0" w:line="240" w:lineRule="auto"/>
        <w:rPr>
          <w:rFonts w:ascii="Times New Roman" w:eastAsia="Times New Roman" w:hAnsi="Times New Roman" w:cs="Times New Roman"/>
          <w:i/>
          <w:sz w:val="24"/>
          <w:szCs w:val="24"/>
        </w:rPr>
      </w:pPr>
      <w:r w:rsidRPr="0082429C">
        <w:rPr>
          <w:rFonts w:ascii="Times New Roman" w:eastAsia="Times New Roman" w:hAnsi="Times New Roman" w:cs="Times New Roman"/>
          <w:i/>
          <w:sz w:val="24"/>
          <w:szCs w:val="24"/>
        </w:rPr>
        <w:t>г. Ханты-Мансийск</w:t>
      </w:r>
    </w:p>
    <w:p w:rsidR="0082429C" w:rsidRPr="0082429C" w:rsidRDefault="0082429C" w:rsidP="0082429C">
      <w:pPr>
        <w:suppressAutoHyphens/>
        <w:spacing w:after="0" w:line="240" w:lineRule="auto"/>
        <w:rPr>
          <w:rFonts w:ascii="Times New Roman" w:eastAsia="Times New Roman" w:hAnsi="Times New Roman" w:cs="Times New Roman"/>
          <w:sz w:val="28"/>
          <w:szCs w:val="28"/>
          <w:lang w:eastAsia="ar-SA"/>
        </w:rPr>
      </w:pPr>
    </w:p>
    <w:p w:rsidR="0076271E" w:rsidRPr="0076271E" w:rsidRDefault="0076271E" w:rsidP="0082429C">
      <w:pPr>
        <w:spacing w:after="0" w:line="240" w:lineRule="auto"/>
        <w:rPr>
          <w:rFonts w:ascii="Times New Roman" w:hAnsi="Times New Roman" w:cs="Times New Roman"/>
          <w:sz w:val="28"/>
          <w:szCs w:val="28"/>
        </w:rPr>
      </w:pPr>
    </w:p>
    <w:p w:rsidR="00B577D9" w:rsidRP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82429C">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772748" w:rsidP="0082429C">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района</w:t>
      </w:r>
      <w:proofErr w:type="gramEnd"/>
      <w:r>
        <w:rPr>
          <w:rFonts w:ascii="Times New Roman" w:eastAsia="Times New Roman" w:hAnsi="Times New Roman" w:cs="Times New Roman"/>
          <w:sz w:val="28"/>
          <w:szCs w:val="28"/>
          <w:lang w:eastAsia="ru-RU"/>
        </w:rPr>
        <w:t xml:space="preserve"> на 2019 – 2022</w:t>
      </w:r>
      <w:r w:rsidR="00994F4D" w:rsidRPr="00ED33F2">
        <w:rPr>
          <w:rFonts w:ascii="Times New Roman" w:eastAsia="Times New Roman" w:hAnsi="Times New Roman" w:cs="Times New Roman"/>
          <w:sz w:val="28"/>
          <w:szCs w:val="28"/>
          <w:lang w:eastAsia="ru-RU"/>
        </w:rPr>
        <w:t xml:space="preserve"> годы»</w:t>
      </w:r>
    </w:p>
    <w:p w:rsidR="006E64B4" w:rsidRDefault="006E64B4" w:rsidP="0082429C">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82429C">
      <w:pPr>
        <w:spacing w:after="0" w:line="240" w:lineRule="auto"/>
        <w:jc w:val="both"/>
        <w:rPr>
          <w:rFonts w:ascii="Times New Roman" w:eastAsia="Times New Roman" w:hAnsi="Times New Roman" w:cs="Times New Roman"/>
          <w:sz w:val="28"/>
          <w:szCs w:val="28"/>
          <w:lang w:eastAsia="ru-RU"/>
        </w:rPr>
      </w:pPr>
    </w:p>
    <w:p w:rsidR="00BB2D8C" w:rsidRPr="00311371" w:rsidRDefault="00BB2D8C" w:rsidP="0082429C">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9E2FFE">
        <w:rPr>
          <w:rFonts w:ascii="Times New Roman" w:hAnsi="Times New Roman"/>
          <w:sz w:val="28"/>
          <w:szCs w:val="28"/>
        </w:rPr>
        <w:t>,</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sidR="005B36FF">
        <w:rPr>
          <w:rFonts w:ascii="Times New Roman" w:eastAsia="Arial" w:hAnsi="Times New Roman"/>
          <w:bCs/>
          <w:sz w:val="28"/>
          <w:szCs w:val="28"/>
        </w:rPr>
        <w:t>содействия занятости населения</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BB2D8C" w:rsidRPr="00311371" w:rsidRDefault="00BB2D8C" w:rsidP="0082429C">
      <w:pPr>
        <w:pStyle w:val="ConsPlusNormal"/>
        <w:ind w:firstLine="708"/>
        <w:jc w:val="both"/>
        <w:rPr>
          <w:rFonts w:ascii="Times New Roman" w:hAnsi="Times New Roman" w:cs="Times New Roman"/>
          <w:sz w:val="28"/>
          <w:szCs w:val="28"/>
        </w:rPr>
      </w:pPr>
    </w:p>
    <w:p w:rsidR="00BB2D8C" w:rsidRPr="005B0F59" w:rsidRDefault="00BB2D8C" w:rsidP="005B0F59">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5B36FF">
        <w:rPr>
          <w:rFonts w:ascii="Times New Roman" w:hAnsi="Times New Roman" w:cs="Times New Roman"/>
          <w:sz w:val="28"/>
          <w:szCs w:val="28"/>
        </w:rPr>
        <w:t>ского района от 12.11.2018 № 319</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муниципальной программе Ханты-Мансийского района «</w:t>
      </w:r>
      <w:r w:rsidR="005B36FF">
        <w:rPr>
          <w:rFonts w:ascii="Times New Roman" w:eastAsia="Arial" w:hAnsi="Times New Roman" w:cs="Times New Roman"/>
          <w:bCs/>
          <w:sz w:val="28"/>
          <w:szCs w:val="28"/>
          <w:lang w:eastAsia="ar-SA"/>
        </w:rPr>
        <w:t xml:space="preserve">Содействие занятости населения </w:t>
      </w:r>
      <w:r w:rsidRPr="00311371">
        <w:rPr>
          <w:rFonts w:ascii="Times New Roman" w:eastAsia="Arial" w:hAnsi="Times New Roman" w:cs="Times New Roman"/>
          <w:bCs/>
          <w:sz w:val="28"/>
          <w:szCs w:val="28"/>
          <w:lang w:eastAsia="ar-SA"/>
        </w:rPr>
        <w:t>Ханты-М</w:t>
      </w:r>
      <w:r w:rsidR="005A6CE5">
        <w:rPr>
          <w:rFonts w:ascii="Times New Roman" w:eastAsia="Arial" w:hAnsi="Times New Roman" w:cs="Times New Roman"/>
          <w:bCs/>
          <w:sz w:val="28"/>
          <w:szCs w:val="28"/>
          <w:lang w:eastAsia="ar-SA"/>
        </w:rPr>
        <w:t>ансийского района на 2019 – 2022</w:t>
      </w:r>
      <w:r w:rsidRPr="00311371">
        <w:rPr>
          <w:rFonts w:ascii="Times New Roman" w:eastAsia="Arial" w:hAnsi="Times New Roman" w:cs="Times New Roman"/>
          <w:bCs/>
          <w:sz w:val="28"/>
          <w:szCs w:val="28"/>
          <w:lang w:eastAsia="ar-SA"/>
        </w:rPr>
        <w:t xml:space="preserve"> годы»</w:t>
      </w:r>
      <w:r w:rsidR="005B0F59">
        <w:rPr>
          <w:rFonts w:ascii="Times New Roman" w:eastAsia="Arial" w:hAnsi="Times New Roman" w:cs="Times New Roman"/>
          <w:bCs/>
          <w:sz w:val="28"/>
          <w:szCs w:val="28"/>
          <w:lang w:eastAsia="ar-SA"/>
        </w:rPr>
        <w:t>,</w:t>
      </w:r>
      <w:r w:rsidRPr="00311371">
        <w:rPr>
          <w:rFonts w:ascii="Times New Roman" w:eastAsia="Arial" w:hAnsi="Times New Roman" w:cs="Times New Roman"/>
          <w:bCs/>
          <w:sz w:val="28"/>
          <w:szCs w:val="28"/>
          <w:lang w:eastAsia="ar-SA"/>
        </w:rPr>
        <w:t xml:space="preserve"> </w:t>
      </w:r>
      <w:r w:rsidR="005B0F59" w:rsidRPr="005B0F59">
        <w:rPr>
          <w:rFonts w:ascii="Times New Roman" w:hAnsi="Times New Roman" w:cs="Times New Roman"/>
          <w:sz w:val="28"/>
          <w:szCs w:val="28"/>
        </w:rPr>
        <w:t xml:space="preserve">изложив </w:t>
      </w:r>
      <w:r w:rsidRPr="005B0F59">
        <w:rPr>
          <w:rFonts w:ascii="Times New Roman" w:hAnsi="Times New Roman" w:cs="Times New Roman"/>
          <w:sz w:val="28"/>
          <w:szCs w:val="28"/>
        </w:rPr>
        <w:t>Приложение к постановлению в новой редакции</w:t>
      </w:r>
      <w:r w:rsidR="0082429C" w:rsidRPr="005B0F59">
        <w:rPr>
          <w:rFonts w:ascii="Times New Roman" w:hAnsi="Times New Roman" w:cs="Times New Roman"/>
          <w:sz w:val="28"/>
          <w:szCs w:val="28"/>
        </w:rPr>
        <w:t>:</w:t>
      </w:r>
      <w:r w:rsidRPr="005B0F59">
        <w:rPr>
          <w:rFonts w:ascii="Times New Roman" w:hAnsi="Times New Roman" w:cs="Times New Roman"/>
          <w:sz w:val="28"/>
          <w:szCs w:val="28"/>
        </w:rPr>
        <w:t xml:space="preserve"> </w:t>
      </w:r>
    </w:p>
    <w:p w:rsidR="00BB2D8C" w:rsidRDefault="00BB2D8C" w:rsidP="0082429C">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p>
    <w:p w:rsidR="00994F4D" w:rsidRPr="00ED33F2" w:rsidRDefault="00BB2D8C" w:rsidP="0082429C">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ED33F2">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ED33F2">
        <w:rPr>
          <w:rFonts w:ascii="Times New Roman" w:hAnsi="Times New Roman" w:cs="Times New Roman"/>
          <w:sz w:val="28"/>
          <w:szCs w:val="28"/>
        </w:rPr>
        <w:t xml:space="preserve"> – </w:t>
      </w:r>
      <w:r w:rsidR="005B36FF">
        <w:rPr>
          <w:rFonts w:ascii="Times New Roman" w:hAnsi="Times New Roman" w:cs="Times New Roman"/>
          <w:sz w:val="28"/>
          <w:szCs w:val="28"/>
        </w:rPr>
        <w:t>2022</w:t>
      </w:r>
      <w:r w:rsidRPr="00ED33F2">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lastRenderedPageBreak/>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«Содействие занятости населения Ханты-М</w:t>
            </w:r>
            <w:r w:rsidR="005B36FF">
              <w:rPr>
                <w:rFonts w:ascii="Times New Roman" w:hAnsi="Times New Roman"/>
                <w:sz w:val="28"/>
                <w:szCs w:val="28"/>
                <w:lang w:eastAsia="en-US"/>
              </w:rPr>
              <w:t>ансийского района на 2019 – 2022</w:t>
            </w:r>
            <w:r w:rsidRPr="00ED33F2">
              <w:rPr>
                <w:rFonts w:ascii="Times New Roman" w:hAnsi="Times New Roman"/>
                <w:sz w:val="28"/>
                <w:szCs w:val="28"/>
                <w:lang w:eastAsia="en-US"/>
              </w:rPr>
              <w:t xml:space="preserve">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005B36FF">
              <w:rPr>
                <w:rFonts w:ascii="Times New Roman" w:hAnsi="Times New Roman"/>
                <w:sz w:val="28"/>
                <w:szCs w:val="28"/>
              </w:rPr>
              <w:t xml:space="preserve">на 2019 – 2022 </w:t>
            </w:r>
            <w:r w:rsidRPr="00ED33F2">
              <w:rPr>
                <w:rFonts w:ascii="Times New Roman" w:hAnsi="Times New Roman"/>
                <w:sz w:val="28"/>
                <w:szCs w:val="28"/>
              </w:rPr>
              <w:t>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proofErr w:type="gramStart"/>
            <w:r w:rsidR="00E06FC3"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w:t>
            </w:r>
            <w:proofErr w:type="gramEnd"/>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 xml:space="preserve">в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 xml:space="preserve">на </w:t>
            </w:r>
            <w:r w:rsidRPr="00ED33F2">
              <w:rPr>
                <w:rFonts w:ascii="Times New Roman" w:hAnsi="Times New Roman" w:cs="Times New Roman"/>
                <w:sz w:val="28"/>
                <w:szCs w:val="28"/>
              </w:rPr>
              <w:lastRenderedPageBreak/>
              <w:t>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lastRenderedPageBreak/>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F26B12" w:rsidRDefault="00994F4D" w:rsidP="00ED33F2">
            <w:pPr>
              <w:pStyle w:val="ConsPlusNormal"/>
              <w:ind w:firstLine="29"/>
              <w:jc w:val="both"/>
              <w:rPr>
                <w:rFonts w:ascii="Times New Roman" w:hAnsi="Times New Roman" w:cs="Times New Roman"/>
                <w:color w:val="000000" w:themeColor="text1"/>
                <w:sz w:val="28"/>
                <w:szCs w:val="28"/>
              </w:rPr>
            </w:pPr>
            <w:r w:rsidRPr="006719E7">
              <w:rPr>
                <w:rFonts w:ascii="Times New Roman" w:hAnsi="Times New Roman" w:cs="Times New Roman"/>
                <w:sz w:val="28"/>
                <w:szCs w:val="28"/>
              </w:rPr>
              <w:t>1</w:t>
            </w:r>
            <w:r w:rsidRPr="00F26B12">
              <w:rPr>
                <w:rFonts w:ascii="Times New Roman" w:hAnsi="Times New Roman" w:cs="Times New Roman"/>
                <w:color w:val="000000" w:themeColor="text1"/>
                <w:sz w:val="28"/>
                <w:szCs w:val="28"/>
              </w:rPr>
              <w:t>.</w:t>
            </w:r>
            <w:r w:rsidR="00292720" w:rsidRPr="00F26B12">
              <w:rPr>
                <w:rFonts w:ascii="Times New Roman" w:hAnsi="Times New Roman" w:cs="Times New Roman"/>
                <w:color w:val="000000" w:themeColor="text1"/>
                <w:sz w:val="28"/>
                <w:szCs w:val="28"/>
              </w:rPr>
              <w:t xml:space="preserve"> </w:t>
            </w:r>
            <w:r w:rsidR="00F26B12" w:rsidRPr="00F26B12">
              <w:rPr>
                <w:rFonts w:ascii="Times New Roman" w:hAnsi="Times New Roman" w:cs="Times New Roman"/>
                <w:color w:val="000000" w:themeColor="text1"/>
                <w:sz w:val="28"/>
                <w:szCs w:val="28"/>
              </w:rPr>
              <w:t>Удержание</w:t>
            </w:r>
            <w:r w:rsidRPr="00F26B12">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F26B12" w:rsidRPr="00F26B12">
              <w:rPr>
                <w:rFonts w:ascii="Times New Roman" w:hAnsi="Times New Roman" w:cs="Times New Roman"/>
                <w:color w:val="000000" w:themeColor="text1"/>
                <w:sz w:val="28"/>
                <w:szCs w:val="28"/>
              </w:rPr>
              <w:t>в пределах</w:t>
            </w:r>
            <w:r w:rsidRPr="00F26B12">
              <w:rPr>
                <w:rFonts w:ascii="Times New Roman" w:hAnsi="Times New Roman" w:cs="Times New Roman"/>
                <w:color w:val="000000" w:themeColor="text1"/>
                <w:sz w:val="28"/>
                <w:szCs w:val="28"/>
              </w:rPr>
              <w:t xml:space="preserve"> </w:t>
            </w:r>
            <w:r w:rsidR="009E2FFE">
              <w:rPr>
                <w:rFonts w:ascii="Times New Roman" w:hAnsi="Times New Roman" w:cs="Times New Roman"/>
                <w:color w:val="000000" w:themeColor="text1"/>
                <w:sz w:val="28"/>
                <w:szCs w:val="28"/>
              </w:rPr>
              <w:t>1,0%</w:t>
            </w:r>
          </w:p>
          <w:p w:rsidR="00994F4D" w:rsidRPr="007A18AA" w:rsidRDefault="00C104F9" w:rsidP="00ED33F2">
            <w:pPr>
              <w:pStyle w:val="a3"/>
              <w:jc w:val="both"/>
              <w:rPr>
                <w:rFonts w:ascii="Times New Roman" w:hAnsi="Times New Roman"/>
                <w:color w:val="000000" w:themeColor="text1"/>
                <w:sz w:val="28"/>
                <w:szCs w:val="28"/>
              </w:rPr>
            </w:pPr>
            <w:r>
              <w:rPr>
                <w:rFonts w:ascii="Times New Roman" w:hAnsi="Times New Roman"/>
                <w:sz w:val="28"/>
                <w:szCs w:val="28"/>
              </w:rPr>
              <w:t>2</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7A18AA">
              <w:rPr>
                <w:rFonts w:ascii="Times New Roman" w:hAnsi="Times New Roman"/>
                <w:color w:val="000000" w:themeColor="text1"/>
                <w:sz w:val="28"/>
                <w:szCs w:val="28"/>
              </w:rPr>
              <w:t>,</w:t>
            </w:r>
            <w:r w:rsidR="00994F4D" w:rsidRPr="007A18AA">
              <w:rPr>
                <w:rFonts w:ascii="Times New Roman" w:hAnsi="Times New Roman"/>
                <w:color w:val="000000" w:themeColor="text1"/>
                <w:sz w:val="28"/>
                <w:szCs w:val="28"/>
              </w:rPr>
              <w:t xml:space="preserve"> не менее </w:t>
            </w:r>
            <w:r w:rsidR="00DE518B" w:rsidRPr="007A18AA">
              <w:rPr>
                <w:rFonts w:ascii="Times New Roman" w:hAnsi="Times New Roman"/>
                <w:color w:val="000000" w:themeColor="text1"/>
                <w:sz w:val="28"/>
                <w:szCs w:val="28"/>
              </w:rPr>
              <w:t>1</w:t>
            </w:r>
            <w:r w:rsidR="00EA30CA" w:rsidRPr="007A18AA">
              <w:rPr>
                <w:rFonts w:ascii="Times New Roman" w:hAnsi="Times New Roman"/>
                <w:color w:val="000000" w:themeColor="text1"/>
                <w:sz w:val="28"/>
                <w:szCs w:val="28"/>
              </w:rPr>
              <w:t>84</w:t>
            </w:r>
            <w:r w:rsidR="00EE283D" w:rsidRPr="007A18AA">
              <w:rPr>
                <w:rFonts w:ascii="Times New Roman" w:hAnsi="Times New Roman"/>
                <w:color w:val="000000" w:themeColor="text1"/>
                <w:sz w:val="28"/>
                <w:szCs w:val="28"/>
              </w:rPr>
              <w:t xml:space="preserve"> единиц</w:t>
            </w:r>
            <w:r w:rsidR="00565DCC" w:rsidRPr="007A18AA">
              <w:rPr>
                <w:rFonts w:ascii="Times New Roman" w:hAnsi="Times New Roman"/>
                <w:color w:val="000000" w:themeColor="text1"/>
                <w:sz w:val="28"/>
                <w:szCs w:val="28"/>
              </w:rPr>
              <w:t xml:space="preserve"> в 2019 году и не менее 88</w:t>
            </w:r>
            <w:r w:rsidR="00F20751" w:rsidRPr="007A18AA">
              <w:rPr>
                <w:rFonts w:ascii="Times New Roman" w:hAnsi="Times New Roman"/>
                <w:color w:val="000000" w:themeColor="text1"/>
                <w:sz w:val="28"/>
                <w:szCs w:val="28"/>
              </w:rPr>
              <w:t xml:space="preserve"> единиц в 2020,</w:t>
            </w:r>
            <w:r w:rsidR="00721272" w:rsidRPr="007A18AA">
              <w:rPr>
                <w:rFonts w:ascii="Times New Roman" w:hAnsi="Times New Roman"/>
                <w:color w:val="000000" w:themeColor="text1"/>
                <w:sz w:val="28"/>
                <w:szCs w:val="28"/>
              </w:rPr>
              <w:t xml:space="preserve"> </w:t>
            </w:r>
            <w:r w:rsidR="0076271E" w:rsidRPr="007A18AA">
              <w:rPr>
                <w:rFonts w:ascii="Times New Roman" w:hAnsi="Times New Roman"/>
                <w:color w:val="000000" w:themeColor="text1"/>
                <w:sz w:val="28"/>
                <w:szCs w:val="28"/>
              </w:rPr>
              <w:t>2021</w:t>
            </w:r>
            <w:r w:rsidR="00635D72"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635D72" w:rsidRPr="007A18AA">
              <w:rPr>
                <w:rFonts w:ascii="Times New Roman" w:hAnsi="Times New Roman"/>
                <w:color w:val="000000" w:themeColor="text1"/>
                <w:sz w:val="28"/>
                <w:szCs w:val="28"/>
              </w:rPr>
              <w:t xml:space="preserve"> </w:t>
            </w:r>
          </w:p>
          <w:p w:rsidR="00994F4D" w:rsidRPr="007A18AA" w:rsidRDefault="00C104F9" w:rsidP="00ED33F2">
            <w:pPr>
              <w:pStyle w:val="a3"/>
              <w:jc w:val="both"/>
              <w:rPr>
                <w:rFonts w:ascii="Times New Roman" w:hAnsi="Times New Roman"/>
                <w:color w:val="000000" w:themeColor="text1"/>
                <w:sz w:val="28"/>
                <w:szCs w:val="28"/>
              </w:rPr>
            </w:pPr>
            <w:r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для граждан, испытыв</w:t>
            </w:r>
            <w:r w:rsidR="00EE283D" w:rsidRPr="007A18AA">
              <w:rPr>
                <w:rFonts w:ascii="Times New Roman" w:hAnsi="Times New Roman"/>
                <w:color w:val="000000" w:themeColor="text1"/>
                <w:sz w:val="28"/>
                <w:szCs w:val="28"/>
              </w:rPr>
              <w:t xml:space="preserve">ающих трудности в поиске работы, </w:t>
            </w:r>
            <w:r w:rsidR="00994F4D" w:rsidRPr="007A18AA">
              <w:rPr>
                <w:rFonts w:ascii="Times New Roman" w:hAnsi="Times New Roman"/>
                <w:color w:val="000000" w:themeColor="text1"/>
                <w:sz w:val="28"/>
                <w:szCs w:val="28"/>
              </w:rPr>
              <w:t xml:space="preserve">не менее </w:t>
            </w:r>
            <w:r w:rsidR="001672CD"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5 </w:t>
            </w:r>
            <w:r w:rsidR="001672CD" w:rsidRPr="007A18AA">
              <w:rPr>
                <w:rFonts w:ascii="Times New Roman" w:hAnsi="Times New Roman"/>
                <w:color w:val="000000" w:themeColor="text1"/>
                <w:sz w:val="28"/>
                <w:szCs w:val="28"/>
              </w:rPr>
              <w:t>единиц в 2019 году и не мен</w:t>
            </w:r>
            <w:r w:rsidR="0076271E" w:rsidRPr="007A18AA">
              <w:rPr>
                <w:rFonts w:ascii="Times New Roman" w:hAnsi="Times New Roman"/>
                <w:color w:val="000000" w:themeColor="text1"/>
                <w:sz w:val="28"/>
                <w:szCs w:val="28"/>
              </w:rPr>
              <w:t>ее 15 единиц в 2020, 2021</w:t>
            </w:r>
            <w:r w:rsidR="00E367F5"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292720" w:rsidRPr="007A18AA">
              <w:rPr>
                <w:rFonts w:ascii="Times New Roman" w:hAnsi="Times New Roman"/>
                <w:color w:val="000000" w:themeColor="text1"/>
                <w:sz w:val="28"/>
                <w:szCs w:val="28"/>
              </w:rPr>
              <w:t xml:space="preserve"> </w:t>
            </w:r>
            <w:r w:rsidR="00994F4D" w:rsidRPr="007A18AA">
              <w:rPr>
                <w:rFonts w:ascii="Times New Roman" w:hAnsi="Times New Roman"/>
                <w:color w:val="000000" w:themeColor="text1"/>
                <w:sz w:val="28"/>
                <w:szCs w:val="28"/>
              </w:rPr>
              <w:t>ежегодно</w:t>
            </w:r>
          </w:p>
          <w:p w:rsidR="00994F4D" w:rsidRPr="006719E7" w:rsidRDefault="00C104F9" w:rsidP="00292720">
            <w:pPr>
              <w:pStyle w:val="a3"/>
              <w:jc w:val="both"/>
              <w:rPr>
                <w:rFonts w:ascii="Times New Roman" w:hAnsi="Times New Roman"/>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306F3" w:rsidP="00ED33F2">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994F4D" w:rsidRPr="00ED33F2">
              <w:rPr>
                <w:rFonts w:ascii="Times New Roman" w:hAnsi="Times New Roman"/>
                <w:sz w:val="28"/>
                <w:szCs w:val="28"/>
                <w:lang w:eastAsia="en-US"/>
              </w:rPr>
              <w:t xml:space="preserve">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proofErr w:type="gramStart"/>
            <w:r w:rsidRPr="00C104F9">
              <w:rPr>
                <w:rFonts w:ascii="Times New Roman" w:hAnsi="Times New Roman"/>
                <w:color w:val="000000" w:themeColor="text1"/>
                <w:sz w:val="28"/>
                <w:szCs w:val="28"/>
              </w:rPr>
              <w:t>общий</w:t>
            </w:r>
            <w:proofErr w:type="gramEnd"/>
            <w:r w:rsidRPr="00C104F9">
              <w:rPr>
                <w:rFonts w:ascii="Times New Roman" w:hAnsi="Times New Roman"/>
                <w:color w:val="000000" w:themeColor="text1"/>
                <w:sz w:val="28"/>
                <w:szCs w:val="28"/>
              </w:rPr>
              <w:t xml:space="preserve">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960FDB" w:rsidRPr="00960FDB">
              <w:rPr>
                <w:rFonts w:ascii="Times New Roman" w:hAnsi="Times New Roman"/>
                <w:color w:val="000000" w:themeColor="text1"/>
                <w:sz w:val="28"/>
                <w:szCs w:val="28"/>
                <w:highlight w:val="yellow"/>
              </w:rPr>
              <w:t>1</w:t>
            </w:r>
            <w:r w:rsidR="005A6837">
              <w:rPr>
                <w:rFonts w:ascii="Times New Roman" w:hAnsi="Times New Roman"/>
                <w:color w:val="000000" w:themeColor="text1"/>
                <w:sz w:val="28"/>
                <w:szCs w:val="28"/>
                <w:highlight w:val="yellow"/>
              </w:rPr>
              <w:t>21 345,</w:t>
            </w:r>
            <w:r w:rsidR="005A6837" w:rsidRPr="005A6837">
              <w:rPr>
                <w:rFonts w:ascii="Times New Roman" w:hAnsi="Times New Roman"/>
                <w:color w:val="000000" w:themeColor="text1"/>
                <w:sz w:val="28"/>
                <w:szCs w:val="28"/>
                <w:highlight w:val="yellow"/>
              </w:rPr>
              <w:t>50</w:t>
            </w:r>
            <w:r w:rsidRPr="00C104F9">
              <w:rPr>
                <w:rFonts w:ascii="Times New Roman" w:hAnsi="Times New Roman"/>
                <w:color w:val="000000" w:themeColor="text1"/>
                <w:sz w:val="28"/>
                <w:szCs w:val="28"/>
              </w:rPr>
              <w:t xml:space="preserve"> 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960FDB">
              <w:rPr>
                <w:rFonts w:ascii="Times New Roman" w:hAnsi="Times New Roman"/>
                <w:color w:val="000000" w:themeColor="text1"/>
                <w:sz w:val="28"/>
                <w:szCs w:val="28"/>
                <w:highlight w:val="yellow"/>
              </w:rPr>
              <w:t xml:space="preserve">2019 год – </w:t>
            </w:r>
            <w:r w:rsidR="00765B0B" w:rsidRPr="00765B0B">
              <w:rPr>
                <w:rFonts w:ascii="Times New Roman" w:hAnsi="Times New Roman"/>
                <w:color w:val="000000" w:themeColor="text1"/>
                <w:sz w:val="28"/>
                <w:szCs w:val="28"/>
                <w:highlight w:val="yellow"/>
              </w:rPr>
              <w:t>33</w:t>
            </w:r>
            <w:r w:rsidR="00765B0B">
              <w:rPr>
                <w:rFonts w:ascii="Times New Roman" w:hAnsi="Times New Roman"/>
                <w:color w:val="000000" w:themeColor="text1"/>
                <w:sz w:val="28"/>
                <w:szCs w:val="28"/>
                <w:highlight w:val="yellow"/>
              </w:rPr>
              <w:t xml:space="preserve"> </w:t>
            </w:r>
            <w:r w:rsidR="00765B0B" w:rsidRPr="00765B0B">
              <w:rPr>
                <w:rFonts w:ascii="Times New Roman" w:hAnsi="Times New Roman"/>
                <w:color w:val="000000" w:themeColor="text1"/>
                <w:sz w:val="28"/>
                <w:szCs w:val="28"/>
                <w:highlight w:val="yellow"/>
              </w:rPr>
              <w:t>384,7</w:t>
            </w:r>
            <w:r w:rsidR="009F7DB4">
              <w:rPr>
                <w:rFonts w:ascii="Times New Roman" w:hAnsi="Times New Roman"/>
                <w:color w:val="000000" w:themeColor="text1"/>
                <w:sz w:val="28"/>
                <w:szCs w:val="28"/>
                <w:highlight w:val="yellow"/>
              </w:rPr>
              <w:t>0</w:t>
            </w:r>
            <w:r w:rsidRPr="00765B0B">
              <w:rPr>
                <w:rFonts w:ascii="Times New Roman" w:hAnsi="Times New Roman"/>
                <w:color w:val="000000" w:themeColor="text1"/>
                <w:sz w:val="28"/>
                <w:szCs w:val="28"/>
                <w:highlight w:val="yellow"/>
              </w:rPr>
              <w:t xml:space="preserve"> </w:t>
            </w:r>
            <w:r w:rsidRPr="00960FDB">
              <w:rPr>
                <w:rFonts w:ascii="Times New Roman" w:hAnsi="Times New Roman"/>
                <w:color w:val="000000" w:themeColor="text1"/>
                <w:sz w:val="28"/>
                <w:szCs w:val="28"/>
                <w:highlight w:val="yellow"/>
              </w:rPr>
              <w:t>тыс. рублей;</w:t>
            </w:r>
          </w:p>
          <w:p w:rsidR="00837019"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2020 год – </w:t>
            </w:r>
            <w:r w:rsidR="00837019">
              <w:rPr>
                <w:rFonts w:ascii="Times New Roman" w:hAnsi="Times New Roman"/>
                <w:color w:val="000000" w:themeColor="text1"/>
                <w:sz w:val="28"/>
                <w:szCs w:val="28"/>
              </w:rPr>
              <w:t>29 296,20 тыс.рублей;</w:t>
            </w:r>
            <w:r w:rsidRPr="00C104F9">
              <w:rPr>
                <w:rFonts w:ascii="Times New Roman" w:hAnsi="Times New Roman"/>
                <w:color w:val="000000" w:themeColor="text1"/>
                <w:sz w:val="28"/>
                <w:szCs w:val="28"/>
              </w:rPr>
              <w:t xml:space="preserve"> </w:t>
            </w:r>
          </w:p>
          <w:p w:rsidR="00994F4D" w:rsidRDefault="00837019" w:rsidP="00ED33F2">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2021 год – 29 328,30 тыс.рублей;</w:t>
            </w:r>
            <w:r w:rsidR="00994F4D" w:rsidRPr="00C104F9">
              <w:rPr>
                <w:rFonts w:ascii="Times New Roman" w:hAnsi="Times New Roman"/>
                <w:color w:val="000000" w:themeColor="text1"/>
                <w:sz w:val="28"/>
                <w:szCs w:val="28"/>
              </w:rPr>
              <w:t xml:space="preserve"> </w:t>
            </w:r>
          </w:p>
          <w:p w:rsidR="00CC7C7D" w:rsidRPr="00ED33F2" w:rsidRDefault="001306F3" w:rsidP="00837019">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2022 год </w:t>
            </w:r>
            <w:r w:rsidR="00045FE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045FEB">
              <w:rPr>
                <w:rFonts w:ascii="Times New Roman" w:hAnsi="Times New Roman"/>
                <w:color w:val="000000" w:themeColor="text1"/>
                <w:sz w:val="28"/>
                <w:szCs w:val="28"/>
              </w:rPr>
              <w:t>29 336,30 тыс.рублей</w:t>
            </w: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76271E" w:rsidRDefault="0076271E" w:rsidP="00511FD1">
      <w:pPr>
        <w:pStyle w:val="ConsPlusNormal"/>
        <w:ind w:firstLine="709"/>
        <w:jc w:val="both"/>
        <w:rPr>
          <w:rFonts w:ascii="Times New Roman" w:hAnsi="Times New Roman" w:cs="Times New Roman"/>
          <w:color w:val="000000" w:themeColor="text1"/>
          <w:sz w:val="28"/>
          <w:szCs w:val="28"/>
        </w:rPr>
      </w:pP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00F12ABE" w:rsidRPr="00ED33F2">
        <w:rPr>
          <w:rFonts w:ascii="Times New Roman" w:hAnsi="Times New Roman" w:cs="Times New Roman"/>
          <w:color w:val="000000" w:themeColor="text1"/>
          <w:sz w:val="28"/>
          <w:szCs w:val="28"/>
        </w:rPr>
        <w:t xml:space="preserve">рамках </w:t>
      </w:r>
      <w:r w:rsidR="00F12ABE">
        <w:rPr>
          <w:rFonts w:ascii="Times New Roman" w:hAnsi="Times New Roman" w:cs="Times New Roman"/>
          <w:color w:val="000000" w:themeColor="text1"/>
          <w:sz w:val="28"/>
          <w:szCs w:val="28"/>
        </w:rPr>
        <w:t xml:space="preserve">исполнения мероприятия </w:t>
      </w:r>
      <w:r w:rsidR="00F12ABE" w:rsidRPr="00ED33F2">
        <w:rPr>
          <w:rFonts w:ascii="Times New Roman" w:hAnsi="Times New Roman" w:cs="Times New Roman"/>
          <w:color w:val="000000" w:themeColor="text1"/>
          <w:sz w:val="28"/>
          <w:szCs w:val="28"/>
        </w:rPr>
        <w:t>«</w:t>
      </w:r>
      <w:r w:rsidR="00511FD1" w:rsidRPr="00ED33F2">
        <w:rPr>
          <w:rFonts w:ascii="Times New Roman" w:hAnsi="Times New Roman" w:cs="Times New Roman"/>
          <w:color w:val="000000" w:themeColor="text1"/>
          <w:sz w:val="28"/>
          <w:szCs w:val="28"/>
        </w:rPr>
        <w:t>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lastRenderedPageBreak/>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w:t>
      </w:r>
      <w:r w:rsidRPr="008B103D">
        <w:rPr>
          <w:rFonts w:ascii="Times New Roman" w:hAnsi="Times New Roman"/>
          <w:sz w:val="28"/>
          <w:szCs w:val="28"/>
        </w:rPr>
        <w:t xml:space="preserve">района от </w:t>
      </w:r>
      <w:r w:rsidR="00177726" w:rsidRPr="008B103D">
        <w:rPr>
          <w:rFonts w:ascii="Times New Roman" w:hAnsi="Times New Roman"/>
          <w:sz w:val="28"/>
          <w:szCs w:val="28"/>
        </w:rPr>
        <w:t>16</w:t>
      </w:r>
      <w:r w:rsidRPr="008B103D">
        <w:rPr>
          <w:rFonts w:ascii="Times New Roman" w:hAnsi="Times New Roman"/>
          <w:sz w:val="28"/>
          <w:szCs w:val="28"/>
        </w:rPr>
        <w:t>.0</w:t>
      </w:r>
      <w:r w:rsidR="00177726" w:rsidRPr="008B103D">
        <w:rPr>
          <w:rFonts w:ascii="Times New Roman" w:hAnsi="Times New Roman"/>
          <w:sz w:val="28"/>
          <w:szCs w:val="28"/>
        </w:rPr>
        <w:t>8</w:t>
      </w:r>
      <w:r w:rsidRPr="008B103D">
        <w:rPr>
          <w:rFonts w:ascii="Times New Roman" w:hAnsi="Times New Roman"/>
          <w:sz w:val="28"/>
          <w:szCs w:val="28"/>
        </w:rPr>
        <w:t>.201</w:t>
      </w:r>
      <w:r w:rsidR="00177726" w:rsidRPr="008B103D">
        <w:rPr>
          <w:rFonts w:ascii="Times New Roman" w:hAnsi="Times New Roman"/>
          <w:sz w:val="28"/>
          <w:szCs w:val="28"/>
        </w:rPr>
        <w:t>9</w:t>
      </w:r>
      <w:r w:rsidRPr="008B103D">
        <w:rPr>
          <w:rFonts w:ascii="Times New Roman" w:hAnsi="Times New Roman"/>
          <w:sz w:val="28"/>
          <w:szCs w:val="28"/>
        </w:rPr>
        <w:t xml:space="preserve"> № </w:t>
      </w:r>
      <w:r w:rsidR="00177726" w:rsidRPr="008B103D">
        <w:rPr>
          <w:rFonts w:ascii="Times New Roman" w:hAnsi="Times New Roman"/>
          <w:sz w:val="28"/>
          <w:szCs w:val="28"/>
        </w:rPr>
        <w:t>824</w:t>
      </w:r>
      <w:r w:rsidRPr="008B103D">
        <w:rPr>
          <w:rFonts w:ascii="Times New Roman" w:hAnsi="Times New Roman"/>
          <w:sz w:val="28"/>
          <w:szCs w:val="28"/>
        </w:rPr>
        <w:t>-р.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bCs/>
          <w:color w:val="000000" w:themeColor="text1"/>
          <w:sz w:val="28"/>
          <w:szCs w:val="28"/>
        </w:rPr>
        <w:lastRenderedPageBreak/>
        <w:t xml:space="preserve">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BC6077"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82429C" w:rsidRDefault="00994F4D" w:rsidP="00ED33F2">
      <w:pPr>
        <w:pStyle w:val="ConsPlusNormal"/>
        <w:ind w:firstLine="709"/>
        <w:jc w:val="both"/>
        <w:rPr>
          <w:rFonts w:ascii="Times New Roman" w:hAnsi="Times New Roman" w:cs="Times New Roman"/>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lastRenderedPageBreak/>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 xml:space="preserve">остановлением администрации Ханты-Мансийского района от 15.03.2012 № 49 «О порядке определения </w:t>
      </w:r>
      <w:r w:rsidRPr="00ED33F2">
        <w:rPr>
          <w:rFonts w:ascii="Times New Roman" w:hAnsi="Times New Roman" w:cs="Times New Roman"/>
          <w:sz w:val="28"/>
          <w:szCs w:val="28"/>
        </w:rPr>
        <w:lastRenderedPageBreak/>
        <w:t>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7"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несвоевременную и некачественную реализацию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lastRenderedPageBreak/>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82429C">
          <w:headerReference w:type="default" r:id="rId8"/>
          <w:headerReference w:type="first" r:id="rId9"/>
          <w:type w:val="nextColumn"/>
          <w:pgSz w:w="11906" w:h="16838"/>
          <w:pgMar w:top="1276" w:right="1276" w:bottom="1134"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795"/>
        <w:gridCol w:w="2607"/>
        <w:gridCol w:w="2779"/>
      </w:tblGrid>
      <w:tr w:rsidR="00CD78E1" w:rsidRPr="00ED33F2" w:rsidTr="0007538D">
        <w:tc>
          <w:tcPr>
            <w:tcW w:w="618"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roofErr w:type="spellStart"/>
            <w:proofErr w:type="gramStart"/>
            <w:r w:rsidRPr="00ED33F2">
              <w:rPr>
                <w:rFonts w:ascii="Times New Roman" w:hAnsi="Times New Roman" w:cs="Times New Roman"/>
                <w:szCs w:val="22"/>
              </w:rPr>
              <w:t>показате</w:t>
            </w:r>
            <w:proofErr w:type="spellEnd"/>
            <w:r w:rsidRPr="00ED33F2">
              <w:rPr>
                <w:rFonts w:ascii="Times New Roman" w:hAnsi="Times New Roman" w:cs="Times New Roman"/>
                <w:szCs w:val="22"/>
              </w:rPr>
              <w:t>-ля</w:t>
            </w:r>
            <w:proofErr w:type="gramEnd"/>
          </w:p>
        </w:tc>
        <w:tc>
          <w:tcPr>
            <w:tcW w:w="4253"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CD78E1" w:rsidRPr="00ED33F2" w:rsidRDefault="00CD78E1" w:rsidP="00ED33F2">
            <w:pPr>
              <w:pStyle w:val="ConsPlusNormal"/>
              <w:jc w:val="center"/>
              <w:rPr>
                <w:rFonts w:ascii="Times New Roman" w:hAnsi="Times New Roman" w:cs="Times New Roman"/>
                <w:szCs w:val="22"/>
              </w:rPr>
            </w:pPr>
            <w:proofErr w:type="gramStart"/>
            <w:r w:rsidRPr="00ED33F2">
              <w:rPr>
                <w:rFonts w:ascii="Times New Roman" w:hAnsi="Times New Roman" w:cs="Times New Roman"/>
                <w:szCs w:val="22"/>
              </w:rPr>
              <w:t>на</w:t>
            </w:r>
            <w:proofErr w:type="gramEnd"/>
            <w:r w:rsidRPr="00ED33F2">
              <w:rPr>
                <w:rFonts w:ascii="Times New Roman" w:hAnsi="Times New Roman" w:cs="Times New Roman"/>
                <w:szCs w:val="22"/>
              </w:rPr>
              <w:t xml:space="preserve"> начало реализации </w:t>
            </w:r>
            <w:proofErr w:type="spellStart"/>
            <w:r w:rsidRPr="00ED33F2">
              <w:rPr>
                <w:rFonts w:ascii="Times New Roman" w:hAnsi="Times New Roman" w:cs="Times New Roman"/>
                <w:szCs w:val="22"/>
              </w:rPr>
              <w:t>муниципаль</w:t>
            </w:r>
            <w:proofErr w:type="spellEnd"/>
            <w:r>
              <w:rPr>
                <w:rFonts w:ascii="Times New Roman" w:hAnsi="Times New Roman" w:cs="Times New Roman"/>
                <w:szCs w:val="22"/>
              </w:rPr>
              <w:t>-</w:t>
            </w:r>
            <w:r w:rsidRPr="00ED33F2">
              <w:rPr>
                <w:rFonts w:ascii="Times New Roman" w:hAnsi="Times New Roman" w:cs="Times New Roman"/>
                <w:szCs w:val="22"/>
              </w:rPr>
              <w:t>ной программы</w:t>
            </w:r>
          </w:p>
        </w:tc>
        <w:tc>
          <w:tcPr>
            <w:tcW w:w="2496" w:type="dxa"/>
            <w:gridSpan w:val="4"/>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260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2779"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CD78E1" w:rsidRPr="00ED33F2" w:rsidTr="00CD78E1">
        <w:tc>
          <w:tcPr>
            <w:tcW w:w="618" w:type="dxa"/>
            <w:vMerge/>
          </w:tcPr>
          <w:p w:rsidR="00CD78E1" w:rsidRPr="00ED33F2" w:rsidRDefault="00CD78E1" w:rsidP="00ED33F2">
            <w:pPr>
              <w:spacing w:after="0" w:line="240" w:lineRule="auto"/>
              <w:rPr>
                <w:rFonts w:ascii="Times New Roman" w:hAnsi="Times New Roman" w:cs="Times New Roman"/>
              </w:rPr>
            </w:pPr>
          </w:p>
        </w:tc>
        <w:tc>
          <w:tcPr>
            <w:tcW w:w="4253" w:type="dxa"/>
            <w:vMerge/>
          </w:tcPr>
          <w:p w:rsidR="00CD78E1" w:rsidRPr="00ED33F2" w:rsidRDefault="00CD78E1" w:rsidP="00ED33F2">
            <w:pPr>
              <w:spacing w:after="0" w:line="240" w:lineRule="auto"/>
              <w:rPr>
                <w:rFonts w:ascii="Times New Roman" w:hAnsi="Times New Roman" w:cs="Times New Roman"/>
              </w:rPr>
            </w:pPr>
          </w:p>
        </w:tc>
        <w:tc>
          <w:tcPr>
            <w:tcW w:w="1417" w:type="dxa"/>
            <w:vMerge/>
          </w:tcPr>
          <w:p w:rsidR="00CD78E1" w:rsidRPr="00ED33F2" w:rsidRDefault="00CD78E1" w:rsidP="00ED33F2">
            <w:pPr>
              <w:spacing w:after="0" w:line="240" w:lineRule="auto"/>
              <w:rPr>
                <w:rFonts w:ascii="Times New Roman" w:hAnsi="Times New Roman" w:cs="Times New Roman"/>
              </w:rPr>
            </w:pP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795" w:type="dxa"/>
          </w:tcPr>
          <w:p w:rsidR="00CD78E1" w:rsidRPr="00ED33F2" w:rsidRDefault="00CD78E1" w:rsidP="00CD78E1">
            <w:pPr>
              <w:spacing w:after="0" w:line="240" w:lineRule="auto"/>
              <w:jc w:val="center"/>
              <w:rPr>
                <w:rFonts w:ascii="Times New Roman" w:hAnsi="Times New Roman" w:cs="Times New Roman"/>
              </w:rPr>
            </w:pPr>
            <w:r>
              <w:rPr>
                <w:rFonts w:ascii="Times New Roman" w:hAnsi="Times New Roman" w:cs="Times New Roman"/>
              </w:rPr>
              <w:t>2022 год</w:t>
            </w:r>
          </w:p>
        </w:tc>
        <w:tc>
          <w:tcPr>
            <w:tcW w:w="2607" w:type="dxa"/>
            <w:vMerge/>
          </w:tcPr>
          <w:p w:rsidR="00CD78E1" w:rsidRPr="00ED33F2" w:rsidRDefault="00CD78E1" w:rsidP="00ED33F2">
            <w:pPr>
              <w:spacing w:after="0" w:line="240" w:lineRule="auto"/>
              <w:rPr>
                <w:rFonts w:ascii="Times New Roman" w:hAnsi="Times New Roman" w:cs="Times New Roman"/>
              </w:rPr>
            </w:pPr>
          </w:p>
        </w:tc>
        <w:tc>
          <w:tcPr>
            <w:tcW w:w="2779" w:type="dxa"/>
            <w:vMerge/>
          </w:tcPr>
          <w:p w:rsidR="00CD78E1" w:rsidRPr="00ED33F2" w:rsidRDefault="00CD78E1" w:rsidP="00ED33F2">
            <w:pPr>
              <w:spacing w:after="0" w:line="240" w:lineRule="auto"/>
              <w:rPr>
                <w:rFonts w:ascii="Times New Roman" w:hAnsi="Times New Roman" w:cs="Times New Roman"/>
              </w:rPr>
            </w:pP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795"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7</w:t>
            </w:r>
          </w:p>
        </w:tc>
        <w:tc>
          <w:tcPr>
            <w:tcW w:w="260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8</w:t>
            </w:r>
          </w:p>
        </w:tc>
        <w:tc>
          <w:tcPr>
            <w:tcW w:w="2779"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9</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795"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607"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779" w:type="dxa"/>
          </w:tcPr>
          <w:p w:rsidR="00CD78E1" w:rsidRPr="00ED33F2" w:rsidRDefault="00CD78E1" w:rsidP="0076271E">
            <w:pPr>
              <w:pStyle w:val="ConsPlusNormal"/>
              <w:jc w:val="both"/>
              <w:rPr>
                <w:rFonts w:ascii="Times New Roman" w:hAnsi="Times New Roman" w:cs="Times New Roman"/>
                <w:color w:val="000000"/>
                <w:szCs w:val="22"/>
              </w:rPr>
            </w:pPr>
            <w:r w:rsidRPr="00ED33F2">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w:t>
            </w:r>
            <w:r>
              <w:rPr>
                <w:rFonts w:ascii="Times New Roman" w:hAnsi="Times New Roman" w:cs="Times New Roman"/>
              </w:rPr>
              <w:t>о содействии занятости граждан»</w:t>
            </w:r>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Pr>
                <w:rFonts w:ascii="Times New Roman" w:hAnsi="Times New Roman" w:cs="Times New Roman"/>
              </w:rPr>
              <w:t>производится</w:t>
            </w:r>
            <w:r w:rsidRPr="00ED33F2">
              <w:rPr>
                <w:rFonts w:ascii="Times New Roman" w:hAnsi="Times New Roman" w:cs="Times New Roman"/>
              </w:rPr>
              <w:t xml:space="preserve"> ежегодно</w:t>
            </w:r>
            <w:r>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274</w:t>
            </w:r>
          </w:p>
          <w:p w:rsidR="00CD78E1" w:rsidRPr="00243EA1" w:rsidRDefault="00CD78E1" w:rsidP="00ED33F2">
            <w:pPr>
              <w:pStyle w:val="ConsPlusNormal"/>
              <w:jc w:val="center"/>
              <w:rPr>
                <w:rFonts w:ascii="Times New Roman" w:hAnsi="Times New Roman" w:cs="Times New Roman"/>
                <w:color w:val="000000" w:themeColor="text1"/>
                <w:szCs w:val="22"/>
              </w:rPr>
            </w:pPr>
          </w:p>
        </w:tc>
        <w:tc>
          <w:tcPr>
            <w:tcW w:w="567" w:type="dxa"/>
          </w:tcPr>
          <w:p w:rsidR="00CD78E1" w:rsidRPr="00243EA1" w:rsidRDefault="00CD78E1" w:rsidP="00FC5545">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184</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795"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w:t>
            </w:r>
            <w:r w:rsidR="00243EA1" w:rsidRPr="00243EA1">
              <w:rPr>
                <w:rFonts w:ascii="Times New Roman" w:hAnsi="Times New Roman" w:cs="Times New Roman"/>
                <w:color w:val="000000" w:themeColor="text1"/>
                <w:szCs w:val="22"/>
              </w:rPr>
              <w:t>8</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w:t>
            </w:r>
            <w:r w:rsidRPr="00243EA1">
              <w:rPr>
                <w:rFonts w:ascii="Times New Roman" w:hAnsi="Times New Roman" w:cs="Times New Roman"/>
                <w:color w:val="000000" w:themeColor="text1"/>
              </w:rPr>
              <w:lastRenderedPageBreak/>
              <w:t xml:space="preserve">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 xml:space="preserve">1 безработного гражданина исходя из МРОТ и умножить на 2 месяца </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lastRenderedPageBreak/>
              <w:t>3.</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37</w:t>
            </w:r>
          </w:p>
        </w:tc>
        <w:tc>
          <w:tcPr>
            <w:tcW w:w="567" w:type="dxa"/>
          </w:tcPr>
          <w:p w:rsidR="00CD78E1" w:rsidRPr="00243EA1" w:rsidRDefault="00CD78E1" w:rsidP="00C735CB">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795" w:type="dxa"/>
          </w:tcPr>
          <w:p w:rsidR="00CD78E1" w:rsidRPr="00243EA1" w:rsidRDefault="000E3D2A"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15</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0082429C">
              <w:rPr>
                <w:rFonts w:ascii="Times New Roman" w:hAnsi="Times New Roman" w:cs="Times New Roman"/>
                <w:color w:val="000000" w:themeColor="text1"/>
              </w:rPr>
              <w:br/>
            </w:r>
            <w:r w:rsidRPr="00243EA1">
              <w:rPr>
                <w:rFonts w:ascii="Times New Roman" w:hAnsi="Times New Roman" w:cs="Times New Roman"/>
                <w:color w:val="000000" w:themeColor="text1"/>
              </w:rPr>
              <w:t>1 безработного гражданина исходя из МРОТ и умножить на 3 месяца (для испытывающих трудности в поиске работы)</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4</w:t>
            </w:r>
            <w:r w:rsidRPr="00ED33F2">
              <w:rPr>
                <w:rFonts w:ascii="Times New Roman" w:hAnsi="Times New Roman" w:cs="Times New Roman"/>
                <w:szCs w:val="22"/>
              </w:rPr>
              <w:t>.</w:t>
            </w:r>
          </w:p>
        </w:tc>
        <w:tc>
          <w:tcPr>
            <w:tcW w:w="4253" w:type="dxa"/>
          </w:tcPr>
          <w:p w:rsidR="00CD78E1" w:rsidRPr="00ED33F2" w:rsidRDefault="00CD78E1"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95" w:type="dxa"/>
          </w:tcPr>
          <w:p w:rsidR="00CD78E1" w:rsidRPr="00ED33F2" w:rsidRDefault="002E02CC" w:rsidP="00ED33F2">
            <w:pPr>
              <w:pStyle w:val="ConsPlusNormal"/>
              <w:jc w:val="center"/>
              <w:rPr>
                <w:rFonts w:ascii="Times New Roman" w:hAnsi="Times New Roman" w:cs="Times New Roman"/>
                <w:szCs w:val="22"/>
              </w:rPr>
            </w:pPr>
            <w:r>
              <w:rPr>
                <w:rFonts w:ascii="Times New Roman" w:hAnsi="Times New Roman" w:cs="Times New Roman"/>
                <w:szCs w:val="22"/>
              </w:rPr>
              <w:t>2</w:t>
            </w:r>
          </w:p>
        </w:tc>
        <w:tc>
          <w:tcPr>
            <w:tcW w:w="260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2779" w:type="dxa"/>
          </w:tcPr>
          <w:p w:rsidR="00CD78E1" w:rsidRPr="00ED33F2" w:rsidRDefault="00CD78E1"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 xml:space="preserve">Таблица 2 </w:t>
      </w:r>
    </w:p>
    <w:p w:rsidR="00994F4D" w:rsidRPr="00ED33F2" w:rsidRDefault="00F32FD9" w:rsidP="00ED33F2">
      <w:pPr>
        <w:pStyle w:val="ConsPlusNormal"/>
        <w:jc w:val="center"/>
        <w:rPr>
          <w:rFonts w:ascii="Times New Roman" w:hAnsi="Times New Roman" w:cs="Times New Roman"/>
          <w:sz w:val="28"/>
          <w:szCs w:val="28"/>
        </w:rPr>
      </w:pPr>
      <w:bookmarkStart w:id="0" w:name="_GoBack"/>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bookmarkEnd w:id="0"/>
    <w:p w:rsidR="0019365C" w:rsidRPr="00ED33F2" w:rsidRDefault="0019365C" w:rsidP="00ED33F2">
      <w:pPr>
        <w:pStyle w:val="ConsPlusNormal"/>
        <w:rPr>
          <w:rFonts w:ascii="Times New Roman" w:hAnsi="Times New Roman" w:cs="Times New Roman"/>
          <w:sz w:val="28"/>
          <w:szCs w:val="28"/>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3240"/>
        <w:gridCol w:w="2410"/>
        <w:gridCol w:w="1701"/>
        <w:gridCol w:w="1134"/>
        <w:gridCol w:w="992"/>
        <w:gridCol w:w="992"/>
        <w:gridCol w:w="1134"/>
        <w:gridCol w:w="1134"/>
      </w:tblGrid>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Номер </w:t>
            </w:r>
            <w:proofErr w:type="gramStart"/>
            <w:r w:rsidRPr="00842AFA">
              <w:rPr>
                <w:rFonts w:ascii="Times New Roman" w:eastAsia="Calibri" w:hAnsi="Times New Roman" w:cs="Times New Roman"/>
                <w:sz w:val="20"/>
                <w:szCs w:val="20"/>
              </w:rPr>
              <w:t>основ-</w:t>
            </w:r>
            <w:proofErr w:type="spellStart"/>
            <w:r w:rsidRPr="00842AFA">
              <w:rPr>
                <w:rFonts w:ascii="Times New Roman" w:eastAsia="Calibri" w:hAnsi="Times New Roman" w:cs="Times New Roman"/>
                <w:sz w:val="20"/>
                <w:szCs w:val="20"/>
              </w:rPr>
              <w:t>ного</w:t>
            </w:r>
            <w:proofErr w:type="spellEnd"/>
            <w:proofErr w:type="gramEnd"/>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842AFA">
              <w:rPr>
                <w:rFonts w:ascii="Times New Roman" w:eastAsia="Calibri" w:hAnsi="Times New Roman" w:cs="Times New Roman"/>
                <w:sz w:val="20"/>
                <w:szCs w:val="20"/>
              </w:rPr>
              <w:t>меро</w:t>
            </w:r>
            <w:proofErr w:type="spellEnd"/>
            <w:proofErr w:type="gramEnd"/>
            <w:r w:rsidRPr="00842AFA">
              <w:rPr>
                <w:rFonts w:ascii="Times New Roman" w:eastAsia="Calibri" w:hAnsi="Times New Roman" w:cs="Times New Roman"/>
                <w:sz w:val="20"/>
                <w:szCs w:val="20"/>
              </w:rPr>
              <w:t>-приятия</w:t>
            </w:r>
          </w:p>
        </w:tc>
        <w:tc>
          <w:tcPr>
            <w:tcW w:w="324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5386" w:type="dxa"/>
            <w:gridSpan w:val="5"/>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4252" w:type="dxa"/>
            <w:gridSpan w:val="4"/>
            <w:shd w:val="clear" w:color="auto" w:fill="auto"/>
          </w:tcPr>
          <w:p w:rsidR="008C4727" w:rsidRPr="00842AFA" w:rsidRDefault="008C4727"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C4727" w:rsidRPr="00ED33F2" w:rsidTr="00CA4D0E">
        <w:trPr>
          <w:trHeight w:val="20"/>
        </w:trPr>
        <w:tc>
          <w:tcPr>
            <w:tcW w:w="90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324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1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1701"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1134" w:type="dxa"/>
            <w:shd w:val="clear" w:color="auto" w:fill="auto"/>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p>
        </w:tc>
      </w:tr>
      <w:tr w:rsidR="008C4727" w:rsidRPr="00ED33F2" w:rsidTr="00CA4D0E">
        <w:trPr>
          <w:trHeight w:val="278"/>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lastRenderedPageBreak/>
              <w:t>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(показатели 1, 2, 3, 4)</w:t>
            </w:r>
          </w:p>
        </w:tc>
        <w:tc>
          <w:tcPr>
            <w:tcW w:w="2410" w:type="dxa"/>
            <w:vMerge w:val="restart"/>
            <w:shd w:val="clear" w:color="auto" w:fill="auto"/>
          </w:tcPr>
          <w:p w:rsidR="008C4727" w:rsidRPr="00842AFA" w:rsidRDefault="008C4727" w:rsidP="00695BF5">
            <w:pPr>
              <w:spacing w:after="0" w:line="240" w:lineRule="auto"/>
              <w:ind w:firstLine="108"/>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1B6471" w:rsidP="00D800F9">
            <w:pPr>
              <w:pStyle w:val="ConsPlusNormal"/>
              <w:jc w:val="center"/>
              <w:rPr>
                <w:rFonts w:ascii="Times New Roman" w:hAnsi="Times New Roman" w:cs="Times New Roman"/>
                <w:sz w:val="20"/>
              </w:rPr>
            </w:pPr>
            <w:r w:rsidRPr="001B6471">
              <w:rPr>
                <w:rFonts w:ascii="Times New Roman" w:hAnsi="Times New Roman" w:cs="Times New Roman"/>
                <w:sz w:val="20"/>
                <w:highlight w:val="yellow"/>
              </w:rPr>
              <w:t>115 243,</w:t>
            </w:r>
            <w:r w:rsidR="000A3C36">
              <w:rPr>
                <w:rFonts w:ascii="Times New Roman" w:hAnsi="Times New Roman" w:cs="Times New Roman"/>
                <w:sz w:val="20"/>
                <w:highlight w:val="yellow"/>
              </w:rPr>
              <w:t>4</w:t>
            </w:r>
            <w:r w:rsidRPr="001B6471">
              <w:rPr>
                <w:rFonts w:ascii="Times New Roman" w:hAnsi="Times New Roman" w:cs="Times New Roman"/>
                <w:sz w:val="20"/>
                <w:highlight w:val="yellow"/>
              </w:rPr>
              <w:t>0</w:t>
            </w:r>
          </w:p>
        </w:tc>
        <w:tc>
          <w:tcPr>
            <w:tcW w:w="992" w:type="dxa"/>
          </w:tcPr>
          <w:p w:rsidR="008C4727" w:rsidRPr="001B6471" w:rsidRDefault="00313629" w:rsidP="00D800F9">
            <w:pPr>
              <w:pStyle w:val="ConsPlusNormal"/>
              <w:jc w:val="center"/>
              <w:rPr>
                <w:rFonts w:ascii="Times New Roman" w:hAnsi="Times New Roman" w:cs="Times New Roman"/>
                <w:sz w:val="20"/>
                <w:highlight w:val="yellow"/>
              </w:rPr>
            </w:pPr>
            <w:r w:rsidRPr="001B6471">
              <w:rPr>
                <w:rFonts w:ascii="Times New Roman" w:hAnsi="Times New Roman" w:cs="Times New Roman"/>
                <w:sz w:val="20"/>
                <w:highlight w:val="yellow"/>
              </w:rPr>
              <w:t>31 800,30</w:t>
            </w:r>
          </w:p>
        </w:tc>
        <w:tc>
          <w:tcPr>
            <w:tcW w:w="992"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27 790,3</w:t>
            </w:r>
            <w:r w:rsidR="002B7044" w:rsidRPr="00171AEA">
              <w:rPr>
                <w:rFonts w:ascii="Times New Roman" w:hAnsi="Times New Roman" w:cs="Times New Roman"/>
                <w:sz w:val="20"/>
                <w:szCs w:val="20"/>
              </w:rPr>
              <w:t>0</w:t>
            </w:r>
          </w:p>
        </w:tc>
        <w:tc>
          <w:tcPr>
            <w:tcW w:w="1134"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27 822,4</w:t>
            </w:r>
            <w:r w:rsidR="002B7044" w:rsidRPr="00171AEA">
              <w:rPr>
                <w:rFonts w:ascii="Times New Roman" w:hAnsi="Times New Roman" w:cs="Times New Roman"/>
                <w:sz w:val="20"/>
                <w:szCs w:val="20"/>
              </w:rPr>
              <w:t>0</w:t>
            </w:r>
          </w:p>
        </w:tc>
        <w:tc>
          <w:tcPr>
            <w:tcW w:w="1134"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27 830,4</w:t>
            </w:r>
            <w:r w:rsidR="002B7044" w:rsidRPr="00171AEA">
              <w:rPr>
                <w:rFonts w:ascii="Times New Roman" w:hAnsi="Times New Roman" w:cs="Times New Roman"/>
                <w:sz w:val="20"/>
                <w:szCs w:val="20"/>
              </w:rPr>
              <w:t>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71AEA" w:rsidRDefault="001B6471" w:rsidP="00D800F9">
            <w:pPr>
              <w:spacing w:after="0" w:line="240" w:lineRule="auto"/>
              <w:jc w:val="center"/>
              <w:rPr>
                <w:rFonts w:ascii="Times New Roman" w:hAnsi="Times New Roman" w:cs="Times New Roman"/>
                <w:sz w:val="20"/>
                <w:szCs w:val="20"/>
              </w:rPr>
            </w:pPr>
            <w:r w:rsidRPr="001B6471">
              <w:rPr>
                <w:rFonts w:ascii="Times New Roman" w:hAnsi="Times New Roman" w:cs="Times New Roman"/>
                <w:sz w:val="20"/>
                <w:szCs w:val="20"/>
                <w:highlight w:val="yellow"/>
              </w:rPr>
              <w:t>35 885,50</w:t>
            </w:r>
          </w:p>
        </w:tc>
        <w:tc>
          <w:tcPr>
            <w:tcW w:w="992" w:type="dxa"/>
          </w:tcPr>
          <w:p w:rsidR="008C4727" w:rsidRPr="001B6471" w:rsidRDefault="001B6471" w:rsidP="00D800F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B6471">
              <w:rPr>
                <w:rFonts w:ascii="Times New Roman" w:eastAsia="Calibri" w:hAnsi="Times New Roman" w:cs="Times New Roman"/>
                <w:sz w:val="20"/>
                <w:szCs w:val="20"/>
                <w:highlight w:val="yellow"/>
              </w:rPr>
              <w:t>6 942,5</w:t>
            </w:r>
            <w:r>
              <w:rPr>
                <w:rFonts w:ascii="Times New Roman" w:eastAsia="Calibri" w:hAnsi="Times New Roman" w:cs="Times New Roman"/>
                <w:sz w:val="20"/>
                <w:szCs w:val="20"/>
                <w:highlight w:val="yellow"/>
              </w:rPr>
              <w:t>0</w:t>
            </w:r>
          </w:p>
        </w:tc>
        <w:tc>
          <w:tcPr>
            <w:tcW w:w="992" w:type="dxa"/>
          </w:tcPr>
          <w:p w:rsidR="008C4727" w:rsidRPr="00171AEA" w:rsidRDefault="00D54D55"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9 623,6</w:t>
            </w:r>
            <w:r w:rsidR="002B7044" w:rsidRPr="00171AEA">
              <w:rPr>
                <w:rFonts w:ascii="Times New Roman" w:eastAsia="Calibri" w:hAnsi="Times New Roman" w:cs="Times New Roman"/>
                <w:sz w:val="20"/>
                <w:szCs w:val="20"/>
              </w:rPr>
              <w:t>0</w:t>
            </w:r>
          </w:p>
        </w:tc>
        <w:tc>
          <w:tcPr>
            <w:tcW w:w="1134" w:type="dxa"/>
          </w:tcPr>
          <w:p w:rsidR="008C4727" w:rsidRPr="00171AEA" w:rsidRDefault="00C21509"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r w:rsidR="002B7044" w:rsidRPr="00171AEA">
              <w:rPr>
                <w:rFonts w:ascii="Times New Roman" w:eastAsia="Calibri" w:hAnsi="Times New Roman" w:cs="Times New Roman"/>
                <w:sz w:val="20"/>
                <w:szCs w:val="20"/>
              </w:rPr>
              <w:t>0</w:t>
            </w:r>
          </w:p>
        </w:tc>
        <w:tc>
          <w:tcPr>
            <w:tcW w:w="1134" w:type="dxa"/>
          </w:tcPr>
          <w:p w:rsidR="008C4727" w:rsidRPr="00171AEA" w:rsidRDefault="00BA1B46"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r w:rsidR="002B7044" w:rsidRPr="00171AEA">
              <w:rPr>
                <w:rFonts w:ascii="Times New Roman" w:eastAsia="Calibri" w:hAnsi="Times New Roman" w:cs="Times New Roman"/>
                <w:sz w:val="20"/>
                <w:szCs w:val="20"/>
              </w:rPr>
              <w:t>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8C4727" w:rsidRPr="00171AEA" w:rsidRDefault="002B7044" w:rsidP="00D3338D">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8C4727" w:rsidRPr="00171AEA" w:rsidRDefault="008C4727" w:rsidP="00D3338D">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8C4727" w:rsidRPr="00171AEA" w:rsidRDefault="00D54D55"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134" w:type="dxa"/>
          </w:tcPr>
          <w:p w:rsidR="008C4727" w:rsidRPr="00171AEA" w:rsidRDefault="00C21509"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134" w:type="dxa"/>
          </w:tcPr>
          <w:p w:rsidR="008C4727" w:rsidRPr="00171AEA" w:rsidRDefault="00BA1B46"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ED2375"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25</w:t>
            </w:r>
            <w:r w:rsidR="008C4727" w:rsidRPr="00171AEA">
              <w:rPr>
                <w:rFonts w:ascii="Times New Roman" w:hAnsi="Times New Roman" w:cs="Times New Roman"/>
                <w:sz w:val="20"/>
                <w:szCs w:val="20"/>
              </w:rPr>
              <w:t xml:space="preserve"> 500,00</w:t>
            </w:r>
          </w:p>
        </w:tc>
        <w:tc>
          <w:tcPr>
            <w:tcW w:w="992" w:type="dxa"/>
          </w:tcPr>
          <w:p w:rsidR="008C4727" w:rsidRPr="00171AEA" w:rsidRDefault="008C4727"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10 500,00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783159"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CA4D0E">
        <w:trPr>
          <w:trHeight w:val="225"/>
        </w:trPr>
        <w:tc>
          <w:tcPr>
            <w:tcW w:w="90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171AEA" w:rsidRDefault="00ED2375"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25</w:t>
            </w:r>
            <w:r w:rsidR="008C4727" w:rsidRPr="00171AEA">
              <w:rPr>
                <w:rFonts w:ascii="Times New Roman" w:hAnsi="Times New Roman" w:cs="Times New Roman"/>
                <w:sz w:val="20"/>
                <w:szCs w:val="20"/>
              </w:rPr>
              <w:t> 500,00</w:t>
            </w:r>
          </w:p>
        </w:tc>
        <w:tc>
          <w:tcPr>
            <w:tcW w:w="992" w:type="dxa"/>
          </w:tcPr>
          <w:p w:rsidR="008C4727" w:rsidRPr="00171AEA" w:rsidRDefault="008C4727"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10 500,00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783159"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Pr="00842AFA">
              <w:rPr>
                <w:rFonts w:ascii="Times New Roman" w:hAnsi="Times New Roman" w:cs="Times New Roman"/>
                <w:sz w:val="20"/>
                <w:szCs w:val="20"/>
              </w:rPr>
              <w:t xml:space="preserve"> </w:t>
            </w:r>
          </w:p>
        </w:tc>
        <w:tc>
          <w:tcPr>
            <w:tcW w:w="2410" w:type="dxa"/>
            <w:vMerge w:val="restart"/>
            <w:shd w:val="clear" w:color="auto" w:fill="auto"/>
          </w:tcPr>
          <w:p w:rsidR="008C4727" w:rsidRPr="00842AFA" w:rsidRDefault="008C4727" w:rsidP="003A7A82">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r>
              <w:rPr>
                <w:rFonts w:ascii="Times New Roman" w:hAnsi="Times New Roman" w:cs="Times New Roman"/>
                <w:sz w:val="20"/>
                <w:szCs w:val="20"/>
              </w:rPr>
              <w:t xml:space="preserve">, </w:t>
            </w:r>
            <w:r w:rsidRPr="00382EC5">
              <w:rPr>
                <w:rFonts w:ascii="Times New Roman" w:hAnsi="Times New Roman" w:cs="Times New Roman"/>
                <w:sz w:val="20"/>
                <w:szCs w:val="20"/>
                <w:highlight w:val="yellow"/>
              </w:rPr>
              <w:t xml:space="preserve"> </w:t>
            </w:r>
            <w:r w:rsidRPr="007A1117">
              <w:rPr>
                <w:rFonts w:ascii="Times New Roman" w:hAnsi="Times New Roman" w:cs="Times New Roman"/>
                <w:sz w:val="20"/>
                <w:szCs w:val="20"/>
              </w:rPr>
              <w:t>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BC6077" w:rsidP="00AF2D26">
            <w:pPr>
              <w:spacing w:after="0" w:line="240" w:lineRule="auto"/>
              <w:jc w:val="center"/>
              <w:rPr>
                <w:rFonts w:ascii="Times New Roman" w:hAnsi="Times New Roman" w:cs="Times New Roman"/>
                <w:sz w:val="20"/>
                <w:szCs w:val="20"/>
              </w:rPr>
            </w:pPr>
            <w:r w:rsidRPr="00BC6077">
              <w:rPr>
                <w:rFonts w:ascii="Times New Roman" w:hAnsi="Times New Roman" w:cs="Times New Roman"/>
                <w:sz w:val="20"/>
                <w:szCs w:val="20"/>
                <w:highlight w:val="yellow"/>
              </w:rPr>
              <w:t>35 885,50</w:t>
            </w:r>
          </w:p>
        </w:tc>
        <w:tc>
          <w:tcPr>
            <w:tcW w:w="992" w:type="dxa"/>
          </w:tcPr>
          <w:p w:rsidR="008C4727" w:rsidRPr="00171AEA" w:rsidRDefault="00BC607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BC6077">
              <w:rPr>
                <w:rFonts w:ascii="Times New Roman" w:eastAsia="Calibri" w:hAnsi="Times New Roman" w:cs="Times New Roman"/>
                <w:sz w:val="20"/>
                <w:szCs w:val="20"/>
                <w:highlight w:val="yellow"/>
              </w:rPr>
              <w:t>6 942,50</w:t>
            </w:r>
          </w:p>
        </w:tc>
        <w:tc>
          <w:tcPr>
            <w:tcW w:w="992"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71AEA" w:rsidRDefault="00BC6077" w:rsidP="00AF2D26">
            <w:pPr>
              <w:spacing w:after="0" w:line="240" w:lineRule="auto"/>
              <w:jc w:val="center"/>
              <w:rPr>
                <w:rFonts w:ascii="Times New Roman" w:hAnsi="Times New Roman" w:cs="Times New Roman"/>
                <w:sz w:val="20"/>
                <w:szCs w:val="20"/>
              </w:rPr>
            </w:pPr>
            <w:r w:rsidRPr="00BC6077">
              <w:rPr>
                <w:rFonts w:ascii="Times New Roman" w:hAnsi="Times New Roman" w:cs="Times New Roman"/>
                <w:sz w:val="20"/>
                <w:szCs w:val="20"/>
                <w:highlight w:val="yellow"/>
              </w:rPr>
              <w:t>35 885,50</w:t>
            </w:r>
          </w:p>
        </w:tc>
        <w:tc>
          <w:tcPr>
            <w:tcW w:w="992" w:type="dxa"/>
          </w:tcPr>
          <w:p w:rsidR="008C4727" w:rsidRPr="00171AEA" w:rsidRDefault="00BC607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BC6077">
              <w:rPr>
                <w:rFonts w:ascii="Times New Roman" w:eastAsia="Calibri" w:hAnsi="Times New Roman" w:cs="Times New Roman"/>
                <w:sz w:val="20"/>
                <w:szCs w:val="20"/>
                <w:highlight w:val="yellow"/>
              </w:rPr>
              <w:t>6 942,50</w:t>
            </w:r>
          </w:p>
        </w:tc>
        <w:tc>
          <w:tcPr>
            <w:tcW w:w="992" w:type="dxa"/>
          </w:tcPr>
          <w:p w:rsidR="00BB06D8"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9 623,6</w:t>
            </w:r>
          </w:p>
          <w:p w:rsidR="0007538D" w:rsidRPr="00171AEA" w:rsidRDefault="0007538D" w:rsidP="0007538D">
            <w:pPr>
              <w:jc w:val="center"/>
              <w:rPr>
                <w:rFonts w:ascii="Times New Roman" w:hAnsi="Times New Roman" w:cs="Times New Roman"/>
                <w:sz w:val="20"/>
                <w:szCs w:val="20"/>
              </w:rPr>
            </w:pPr>
          </w:p>
          <w:p w:rsidR="0007538D" w:rsidRPr="00171AEA" w:rsidRDefault="0007538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9 655,7</w:t>
            </w:r>
          </w:p>
          <w:p w:rsidR="008C4727" w:rsidRPr="00171AEA" w:rsidRDefault="008C4727" w:rsidP="00BB06D8">
            <w:pPr>
              <w:jc w:val="center"/>
              <w:rPr>
                <w:rFonts w:ascii="Times New Roman" w:eastAsia="Calibri" w:hAnsi="Times New Roman" w:cs="Times New Roman"/>
                <w:sz w:val="20"/>
                <w:szCs w:val="20"/>
              </w:rPr>
            </w:pPr>
          </w:p>
        </w:tc>
        <w:tc>
          <w:tcPr>
            <w:tcW w:w="1134"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9 663,7</w:t>
            </w:r>
          </w:p>
          <w:p w:rsidR="008C4727" w:rsidRPr="00171AEA" w:rsidRDefault="008C4727" w:rsidP="00BB06D8">
            <w:pPr>
              <w:jc w:val="center"/>
              <w:rPr>
                <w:rFonts w:ascii="Times New Roman" w:eastAsia="Calibri" w:hAnsi="Times New Roman" w:cs="Times New Roman"/>
                <w:sz w:val="20"/>
                <w:szCs w:val="20"/>
              </w:rPr>
            </w:pP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992"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134"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134"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992"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780442"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2.</w:t>
            </w:r>
          </w:p>
        </w:tc>
        <w:tc>
          <w:tcPr>
            <w:tcW w:w="3240" w:type="dxa"/>
            <w:vMerge w:val="restart"/>
            <w:shd w:val="clear" w:color="auto" w:fill="auto"/>
          </w:tcPr>
          <w:p w:rsidR="008C4727" w:rsidRPr="00842AFA" w:rsidRDefault="008C4727" w:rsidP="00695BF5">
            <w:pPr>
              <w:pStyle w:val="ConsPlusNormal"/>
              <w:jc w:val="both"/>
              <w:rPr>
                <w:rFonts w:ascii="Times New Roman" w:hAnsi="Times New Roman" w:cs="Times New Roman"/>
                <w:sz w:val="20"/>
              </w:rPr>
            </w:pPr>
            <w:r w:rsidRPr="00842AFA">
              <w:rPr>
                <w:rFonts w:ascii="Times New Roman" w:hAnsi="Times New Roman" w:cs="Times New Roman"/>
                <w:sz w:val="20"/>
              </w:rPr>
              <w:t xml:space="preserve">Основное мероприятие: Улучшение условий и охраны труда в Ханты-Мансийском районе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8C4727" w:rsidRPr="00842AFA" w:rsidRDefault="008C4727"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1134" w:type="dxa"/>
            <w:shd w:val="clear" w:color="auto" w:fill="auto"/>
          </w:tcPr>
          <w:p w:rsidR="008C4727" w:rsidRPr="00B013D8" w:rsidRDefault="00B013D8" w:rsidP="00ED33F2">
            <w:pPr>
              <w:spacing w:after="0" w:line="240" w:lineRule="auto"/>
              <w:jc w:val="center"/>
              <w:rPr>
                <w:rFonts w:ascii="Times New Roman" w:hAnsi="Times New Roman" w:cs="Times New Roman"/>
                <w:sz w:val="20"/>
                <w:szCs w:val="20"/>
                <w:highlight w:val="yellow"/>
              </w:rPr>
            </w:pPr>
            <w:r w:rsidRPr="00B013D8">
              <w:rPr>
                <w:rFonts w:ascii="Times New Roman" w:hAnsi="Times New Roman" w:cs="Times New Roman"/>
                <w:sz w:val="20"/>
                <w:szCs w:val="20"/>
                <w:highlight w:val="yellow"/>
              </w:rPr>
              <w:t>6 102,10</w:t>
            </w:r>
          </w:p>
        </w:tc>
        <w:tc>
          <w:tcPr>
            <w:tcW w:w="992" w:type="dxa"/>
          </w:tcPr>
          <w:p w:rsidR="008C4727" w:rsidRPr="00171AEA" w:rsidRDefault="000A3C36"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A3C36">
              <w:rPr>
                <w:rFonts w:ascii="Times New Roman" w:eastAsia="Calibri" w:hAnsi="Times New Roman" w:cs="Times New Roman"/>
                <w:sz w:val="20"/>
                <w:szCs w:val="20"/>
                <w:highlight w:val="yellow"/>
              </w:rPr>
              <w:t>1 584,40</w:t>
            </w:r>
          </w:p>
        </w:tc>
        <w:tc>
          <w:tcPr>
            <w:tcW w:w="992"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134"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134" w:type="dxa"/>
          </w:tcPr>
          <w:p w:rsidR="008C4727" w:rsidRPr="00171AEA" w:rsidRDefault="00C9320A" w:rsidP="00C9320A">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240" w:type="dxa"/>
            <w:vMerge/>
            <w:shd w:val="clear" w:color="auto" w:fill="auto"/>
          </w:tcPr>
          <w:p w:rsidR="008C4727" w:rsidRPr="00842AFA" w:rsidRDefault="008C4727" w:rsidP="00695BF5">
            <w:pPr>
              <w:pStyle w:val="ConsPlusNormal"/>
              <w:jc w:val="both"/>
              <w:rPr>
                <w:rFonts w:ascii="Times New Roman" w:hAnsi="Times New Roman" w:cs="Times New Roman"/>
                <w:sz w:val="20"/>
              </w:rPr>
            </w:pPr>
          </w:p>
        </w:tc>
        <w:tc>
          <w:tcPr>
            <w:tcW w:w="241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B013D8" w:rsidRDefault="00B013D8" w:rsidP="00ED33F2">
            <w:pPr>
              <w:spacing w:after="0" w:line="240" w:lineRule="auto"/>
              <w:jc w:val="center"/>
              <w:rPr>
                <w:rFonts w:ascii="Times New Roman" w:hAnsi="Times New Roman" w:cs="Times New Roman"/>
                <w:sz w:val="20"/>
                <w:szCs w:val="20"/>
                <w:highlight w:val="yellow"/>
              </w:rPr>
            </w:pPr>
            <w:r w:rsidRPr="00B013D8">
              <w:rPr>
                <w:rFonts w:ascii="Times New Roman" w:hAnsi="Times New Roman" w:cs="Times New Roman"/>
                <w:sz w:val="20"/>
                <w:szCs w:val="20"/>
                <w:highlight w:val="yellow"/>
              </w:rPr>
              <w:t>6 102,10</w:t>
            </w:r>
          </w:p>
        </w:tc>
        <w:tc>
          <w:tcPr>
            <w:tcW w:w="992" w:type="dxa"/>
          </w:tcPr>
          <w:p w:rsidR="006439B7" w:rsidRDefault="006439B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A3C36">
              <w:rPr>
                <w:rFonts w:ascii="Times New Roman" w:eastAsia="Calibri" w:hAnsi="Times New Roman" w:cs="Times New Roman"/>
                <w:sz w:val="20"/>
                <w:szCs w:val="20"/>
                <w:highlight w:val="yellow"/>
              </w:rPr>
              <w:t>1 584,40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C9320A"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B013D8" w:rsidRPr="00ED33F2" w:rsidTr="00CA4D0E">
        <w:trPr>
          <w:trHeight w:val="20"/>
        </w:trPr>
        <w:tc>
          <w:tcPr>
            <w:tcW w:w="900" w:type="dxa"/>
            <w:vMerge w:val="restart"/>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3240" w:type="dxa"/>
            <w:vMerge w:val="restart"/>
            <w:shd w:val="clear" w:color="auto" w:fill="auto"/>
          </w:tcPr>
          <w:p w:rsidR="00B013D8" w:rsidRPr="00842AFA" w:rsidRDefault="00B013D8" w:rsidP="00B013D8">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B013D8" w:rsidRPr="00842AFA" w:rsidRDefault="00B013D8" w:rsidP="00B013D8">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B013D8" w:rsidRPr="00B013D8" w:rsidRDefault="00B013D8" w:rsidP="00B013D8">
            <w:pPr>
              <w:spacing w:after="0" w:line="240" w:lineRule="auto"/>
              <w:jc w:val="center"/>
              <w:rPr>
                <w:rFonts w:ascii="Times New Roman" w:hAnsi="Times New Roman" w:cs="Times New Roman"/>
                <w:sz w:val="20"/>
                <w:szCs w:val="20"/>
                <w:highlight w:val="yellow"/>
              </w:rPr>
            </w:pPr>
            <w:r w:rsidRPr="00B013D8">
              <w:rPr>
                <w:rFonts w:ascii="Times New Roman" w:hAnsi="Times New Roman" w:cs="Times New Roman"/>
                <w:sz w:val="20"/>
                <w:szCs w:val="20"/>
                <w:highlight w:val="yellow"/>
              </w:rPr>
              <w:t>6 102,10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A3C36">
              <w:rPr>
                <w:rFonts w:ascii="Times New Roman" w:eastAsia="Calibri" w:hAnsi="Times New Roman" w:cs="Times New Roman"/>
                <w:sz w:val="20"/>
                <w:szCs w:val="20"/>
                <w:highlight w:val="yellow"/>
              </w:rPr>
              <w:t>1 584,40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B013D8" w:rsidRPr="00171AEA" w:rsidRDefault="00B013D8" w:rsidP="00B013D8">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1 505,90</w:t>
            </w:r>
          </w:p>
        </w:tc>
      </w:tr>
      <w:tr w:rsidR="00B013D8" w:rsidRPr="00ED33F2" w:rsidTr="00CA4D0E">
        <w:trPr>
          <w:trHeight w:val="20"/>
        </w:trPr>
        <w:tc>
          <w:tcPr>
            <w:tcW w:w="900" w:type="dxa"/>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B013D8" w:rsidRPr="00B013D8" w:rsidRDefault="00B013D8" w:rsidP="00B013D8">
            <w:pPr>
              <w:spacing w:after="0" w:line="240" w:lineRule="auto"/>
              <w:jc w:val="center"/>
              <w:rPr>
                <w:rFonts w:ascii="Times New Roman" w:hAnsi="Times New Roman" w:cs="Times New Roman"/>
                <w:sz w:val="20"/>
                <w:szCs w:val="20"/>
                <w:highlight w:val="yellow"/>
              </w:rPr>
            </w:pPr>
            <w:r w:rsidRPr="00B013D8">
              <w:rPr>
                <w:rFonts w:ascii="Times New Roman" w:hAnsi="Times New Roman" w:cs="Times New Roman"/>
                <w:sz w:val="20"/>
                <w:szCs w:val="20"/>
                <w:highlight w:val="yellow"/>
              </w:rPr>
              <w:t>6 102,10</w:t>
            </w:r>
          </w:p>
        </w:tc>
        <w:tc>
          <w:tcPr>
            <w:tcW w:w="992" w:type="dxa"/>
          </w:tcPr>
          <w:p w:rsidR="00B013D8"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A3C36">
              <w:rPr>
                <w:rFonts w:ascii="Times New Roman" w:eastAsia="Calibri" w:hAnsi="Times New Roman" w:cs="Times New Roman"/>
                <w:sz w:val="20"/>
                <w:szCs w:val="20"/>
                <w:highlight w:val="yellow"/>
              </w:rPr>
              <w:t>1 584,40</w:t>
            </w:r>
          </w:p>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B013D8" w:rsidRPr="00171AEA" w:rsidRDefault="00B013D8" w:rsidP="00B013D8">
            <w:pPr>
              <w:jc w:val="center"/>
              <w:rPr>
                <w:rFonts w:ascii="Times New Roman" w:hAnsi="Times New Roman" w:cs="Times New Roman"/>
                <w:sz w:val="20"/>
                <w:szCs w:val="20"/>
              </w:rPr>
            </w:pPr>
            <w:r w:rsidRPr="00171AEA">
              <w:rPr>
                <w:rFonts w:ascii="Times New Roman" w:hAnsi="Times New Roman" w:cs="Times New Roman"/>
                <w:sz w:val="20"/>
                <w:szCs w:val="20"/>
              </w:rPr>
              <w:t>1 505,90</w:t>
            </w:r>
          </w:p>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B013D8" w:rsidRPr="00171AEA" w:rsidRDefault="00B013D8" w:rsidP="00B013D8">
            <w:pPr>
              <w:jc w:val="center"/>
              <w:rPr>
                <w:rFonts w:ascii="Times New Roman" w:hAnsi="Times New Roman" w:cs="Times New Roman"/>
                <w:sz w:val="20"/>
                <w:szCs w:val="20"/>
              </w:rPr>
            </w:pPr>
            <w:r w:rsidRPr="00171AEA">
              <w:rPr>
                <w:rFonts w:ascii="Times New Roman" w:hAnsi="Times New Roman" w:cs="Times New Roman"/>
                <w:sz w:val="20"/>
                <w:szCs w:val="20"/>
              </w:rPr>
              <w:t>1 505,90</w:t>
            </w:r>
          </w:p>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B013D8" w:rsidRPr="00171AEA" w:rsidRDefault="00B013D8" w:rsidP="00B013D8">
            <w:pPr>
              <w:jc w:val="center"/>
              <w:rPr>
                <w:rFonts w:ascii="Times New Roman" w:hAnsi="Times New Roman" w:cs="Times New Roman"/>
                <w:sz w:val="20"/>
                <w:szCs w:val="20"/>
              </w:rPr>
            </w:pPr>
            <w:r w:rsidRPr="00171AEA">
              <w:rPr>
                <w:rFonts w:ascii="Times New Roman" w:hAnsi="Times New Roman" w:cs="Times New Roman"/>
                <w:sz w:val="20"/>
                <w:szCs w:val="20"/>
              </w:rPr>
              <w:t>1 505,90</w:t>
            </w:r>
          </w:p>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B013D8" w:rsidRPr="00ED33F2" w:rsidTr="00CA4D0E">
        <w:trPr>
          <w:trHeight w:val="20"/>
        </w:trPr>
        <w:tc>
          <w:tcPr>
            <w:tcW w:w="6550" w:type="dxa"/>
            <w:gridSpan w:val="3"/>
            <w:vMerge w:val="restart"/>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B013D8" w:rsidRPr="00171AEA" w:rsidRDefault="00B013D8" w:rsidP="00B013D8">
            <w:pPr>
              <w:pStyle w:val="ConsPlusNormal"/>
              <w:jc w:val="center"/>
              <w:rPr>
                <w:rFonts w:ascii="Times New Roman" w:hAnsi="Times New Roman" w:cs="Times New Roman"/>
                <w:sz w:val="20"/>
              </w:rPr>
            </w:pPr>
            <w:r w:rsidRPr="00B013D8">
              <w:rPr>
                <w:rFonts w:ascii="Times New Roman" w:hAnsi="Times New Roman" w:cs="Times New Roman"/>
                <w:sz w:val="20"/>
                <w:highlight w:val="yellow"/>
              </w:rPr>
              <w:t>121 345,50</w:t>
            </w:r>
          </w:p>
        </w:tc>
        <w:tc>
          <w:tcPr>
            <w:tcW w:w="992" w:type="dxa"/>
          </w:tcPr>
          <w:p w:rsidR="00B013D8" w:rsidRPr="00171AEA" w:rsidRDefault="00B013D8" w:rsidP="00B013D8">
            <w:pPr>
              <w:pStyle w:val="ConsPlusNormal"/>
              <w:jc w:val="center"/>
              <w:rPr>
                <w:rFonts w:ascii="Times New Roman" w:hAnsi="Times New Roman" w:cs="Times New Roman"/>
                <w:sz w:val="20"/>
              </w:rPr>
            </w:pPr>
            <w:r w:rsidRPr="00B013D8">
              <w:rPr>
                <w:rFonts w:ascii="Times New Roman" w:hAnsi="Times New Roman" w:cs="Times New Roman"/>
                <w:sz w:val="20"/>
                <w:highlight w:val="yellow"/>
              </w:rPr>
              <w:t>33 384,70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1134"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134"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B013D8" w:rsidRPr="00ED33F2" w:rsidTr="00CA4D0E">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B013D8" w:rsidRPr="00C8788A" w:rsidRDefault="00C8788A" w:rsidP="00B013D8">
            <w:pPr>
              <w:pStyle w:val="ConsPlusNormal"/>
              <w:jc w:val="center"/>
              <w:rPr>
                <w:rFonts w:ascii="Times New Roman" w:hAnsi="Times New Roman" w:cs="Times New Roman"/>
                <w:sz w:val="20"/>
                <w:highlight w:val="yellow"/>
              </w:rPr>
            </w:pPr>
            <w:r w:rsidRPr="00C8788A">
              <w:rPr>
                <w:rFonts w:ascii="Times New Roman" w:hAnsi="Times New Roman" w:cs="Times New Roman"/>
                <w:sz w:val="20"/>
                <w:highlight w:val="yellow"/>
              </w:rPr>
              <w:t>41 987,60</w:t>
            </w:r>
          </w:p>
        </w:tc>
        <w:tc>
          <w:tcPr>
            <w:tcW w:w="992" w:type="dxa"/>
          </w:tcPr>
          <w:p w:rsidR="00B013D8" w:rsidRPr="00C8788A" w:rsidRDefault="00C8788A" w:rsidP="00B013D8">
            <w:pPr>
              <w:pStyle w:val="ConsPlusNormal"/>
              <w:jc w:val="center"/>
              <w:rPr>
                <w:rFonts w:ascii="Times New Roman" w:hAnsi="Times New Roman" w:cs="Times New Roman"/>
                <w:sz w:val="20"/>
                <w:highlight w:val="yellow"/>
              </w:rPr>
            </w:pPr>
            <w:r>
              <w:rPr>
                <w:rFonts w:ascii="Times New Roman" w:hAnsi="Times New Roman" w:cs="Times New Roman"/>
                <w:sz w:val="20"/>
                <w:highlight w:val="yellow"/>
              </w:rPr>
              <w:t>8 526,90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11 129,50</w:t>
            </w:r>
          </w:p>
        </w:tc>
        <w:tc>
          <w:tcPr>
            <w:tcW w:w="1134"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134"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B013D8" w:rsidRPr="00ED33F2" w:rsidTr="00CA4D0E">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B013D8" w:rsidRPr="00171AEA" w:rsidRDefault="00B013D8" w:rsidP="00B013D8">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B013D8" w:rsidRPr="00ED33F2" w:rsidTr="00CA4D0E">
        <w:trPr>
          <w:trHeight w:val="20"/>
        </w:trPr>
        <w:tc>
          <w:tcPr>
            <w:tcW w:w="6550" w:type="dxa"/>
            <w:gridSpan w:val="3"/>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B013D8" w:rsidRPr="00ED33F2" w:rsidTr="00CA4D0E">
        <w:trPr>
          <w:trHeight w:val="20"/>
        </w:trPr>
        <w:tc>
          <w:tcPr>
            <w:tcW w:w="6550" w:type="dxa"/>
            <w:gridSpan w:val="3"/>
            <w:vMerge w:val="restart"/>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B013D8" w:rsidRPr="00ED33F2" w:rsidTr="00CA4D0E">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B013D8" w:rsidRPr="00ED33F2" w:rsidTr="00CA4D0E">
        <w:trPr>
          <w:trHeight w:val="20"/>
        </w:trPr>
        <w:tc>
          <w:tcPr>
            <w:tcW w:w="6550" w:type="dxa"/>
            <w:gridSpan w:val="3"/>
            <w:vMerge/>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B013D8" w:rsidRPr="00842AFA" w:rsidRDefault="00B013D8" w:rsidP="00B013D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B013D8" w:rsidRPr="00171AEA" w:rsidRDefault="00B013D8" w:rsidP="00B013D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097AB7" w:rsidRPr="00ED33F2" w:rsidTr="00CA4D0E">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171AEA" w:rsidRDefault="00097AB7" w:rsidP="00097AB7">
            <w:pPr>
              <w:pStyle w:val="ConsPlusNormal"/>
              <w:jc w:val="center"/>
              <w:rPr>
                <w:rFonts w:ascii="Times New Roman" w:hAnsi="Times New Roman" w:cs="Times New Roman"/>
                <w:sz w:val="20"/>
              </w:rPr>
            </w:pPr>
            <w:r w:rsidRPr="00B013D8">
              <w:rPr>
                <w:rFonts w:ascii="Times New Roman" w:hAnsi="Times New Roman" w:cs="Times New Roman"/>
                <w:sz w:val="20"/>
                <w:highlight w:val="yellow"/>
              </w:rPr>
              <w:t>121 345,50</w:t>
            </w:r>
          </w:p>
        </w:tc>
        <w:tc>
          <w:tcPr>
            <w:tcW w:w="992" w:type="dxa"/>
          </w:tcPr>
          <w:p w:rsidR="00097AB7" w:rsidRPr="00171AEA" w:rsidRDefault="00097AB7" w:rsidP="00097AB7">
            <w:pPr>
              <w:pStyle w:val="ConsPlusNormal"/>
              <w:jc w:val="center"/>
              <w:rPr>
                <w:rFonts w:ascii="Times New Roman" w:hAnsi="Times New Roman" w:cs="Times New Roman"/>
                <w:sz w:val="20"/>
              </w:rPr>
            </w:pPr>
            <w:r w:rsidRPr="00B013D8">
              <w:rPr>
                <w:rFonts w:ascii="Times New Roman" w:hAnsi="Times New Roman" w:cs="Times New Roman"/>
                <w:sz w:val="20"/>
                <w:highlight w:val="yellow"/>
              </w:rPr>
              <w:t>33 384,70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1134"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134"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097AB7" w:rsidRPr="00ED33F2" w:rsidTr="00CA4D0E">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097AB7" w:rsidRPr="00C8788A" w:rsidRDefault="00097AB7" w:rsidP="00097AB7">
            <w:pPr>
              <w:pStyle w:val="ConsPlusNormal"/>
              <w:jc w:val="center"/>
              <w:rPr>
                <w:rFonts w:ascii="Times New Roman" w:hAnsi="Times New Roman" w:cs="Times New Roman"/>
                <w:sz w:val="20"/>
                <w:highlight w:val="yellow"/>
              </w:rPr>
            </w:pPr>
            <w:r w:rsidRPr="00C8788A">
              <w:rPr>
                <w:rFonts w:ascii="Times New Roman" w:hAnsi="Times New Roman" w:cs="Times New Roman"/>
                <w:sz w:val="20"/>
                <w:highlight w:val="yellow"/>
              </w:rPr>
              <w:t>41 987,60</w:t>
            </w:r>
          </w:p>
        </w:tc>
        <w:tc>
          <w:tcPr>
            <w:tcW w:w="992" w:type="dxa"/>
          </w:tcPr>
          <w:p w:rsidR="00097AB7" w:rsidRPr="00C8788A" w:rsidRDefault="00097AB7" w:rsidP="00097AB7">
            <w:pPr>
              <w:pStyle w:val="ConsPlusNormal"/>
              <w:jc w:val="center"/>
              <w:rPr>
                <w:rFonts w:ascii="Times New Roman" w:hAnsi="Times New Roman" w:cs="Times New Roman"/>
                <w:sz w:val="20"/>
                <w:highlight w:val="yellow"/>
              </w:rPr>
            </w:pPr>
            <w:r>
              <w:rPr>
                <w:rFonts w:ascii="Times New Roman" w:hAnsi="Times New Roman" w:cs="Times New Roman"/>
                <w:sz w:val="20"/>
                <w:highlight w:val="yellow"/>
              </w:rPr>
              <w:t>8 526,90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11 129,50</w:t>
            </w:r>
          </w:p>
        </w:tc>
        <w:tc>
          <w:tcPr>
            <w:tcW w:w="1134"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134"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097AB7" w:rsidRPr="00ED33F2" w:rsidTr="00CA4D0E">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097AB7" w:rsidRPr="00ED33F2" w:rsidTr="00CA4D0E">
        <w:trPr>
          <w:trHeight w:val="20"/>
        </w:trPr>
        <w:tc>
          <w:tcPr>
            <w:tcW w:w="6550" w:type="dxa"/>
            <w:gridSpan w:val="3"/>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097AB7" w:rsidRPr="00ED33F2" w:rsidTr="00CA4D0E">
        <w:trPr>
          <w:trHeight w:val="20"/>
        </w:trPr>
        <w:tc>
          <w:tcPr>
            <w:tcW w:w="6550" w:type="dxa"/>
            <w:gridSpan w:val="3"/>
            <w:vMerge w:val="restart"/>
            <w:shd w:val="clear" w:color="auto" w:fill="auto"/>
          </w:tcPr>
          <w:p w:rsidR="00097AB7" w:rsidRPr="00842AFA" w:rsidRDefault="00097AB7" w:rsidP="00097AB7">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097AB7" w:rsidRPr="00ED33F2" w:rsidTr="00CA4D0E">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097AB7" w:rsidRPr="00ED33F2" w:rsidTr="00CA4D0E">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171AEA" w:rsidRDefault="000B5321" w:rsidP="00097AB7">
            <w:pPr>
              <w:spacing w:after="0" w:line="240" w:lineRule="auto"/>
              <w:jc w:val="center"/>
              <w:rPr>
                <w:rFonts w:ascii="Times New Roman" w:hAnsi="Times New Roman" w:cs="Times New Roman"/>
                <w:sz w:val="20"/>
                <w:szCs w:val="20"/>
              </w:rPr>
            </w:pPr>
            <w:r w:rsidRPr="000B5321">
              <w:rPr>
                <w:rFonts w:ascii="Times New Roman" w:hAnsi="Times New Roman" w:cs="Times New Roman"/>
                <w:sz w:val="20"/>
                <w:szCs w:val="20"/>
                <w:highlight w:val="yellow"/>
              </w:rPr>
              <w:t>6 102,10</w:t>
            </w:r>
          </w:p>
        </w:tc>
        <w:tc>
          <w:tcPr>
            <w:tcW w:w="992" w:type="dxa"/>
          </w:tcPr>
          <w:p w:rsidR="00097AB7" w:rsidRPr="00171AEA" w:rsidRDefault="000B5321"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B5321">
              <w:rPr>
                <w:rFonts w:ascii="Times New Roman" w:eastAsia="Calibri" w:hAnsi="Times New Roman" w:cs="Times New Roman"/>
                <w:sz w:val="20"/>
                <w:szCs w:val="20"/>
                <w:highlight w:val="yellow"/>
              </w:rPr>
              <w:t>1 584,40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097AB7" w:rsidRPr="00ED33F2" w:rsidTr="00CA4D0E">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097AB7" w:rsidRPr="00171AEA" w:rsidRDefault="000B5321" w:rsidP="000B5321">
            <w:pPr>
              <w:spacing w:after="0" w:line="240" w:lineRule="auto"/>
              <w:jc w:val="center"/>
              <w:rPr>
                <w:rFonts w:ascii="Times New Roman" w:hAnsi="Times New Roman" w:cs="Times New Roman"/>
                <w:sz w:val="20"/>
                <w:szCs w:val="20"/>
              </w:rPr>
            </w:pPr>
            <w:r w:rsidRPr="000B5321">
              <w:rPr>
                <w:rFonts w:ascii="Times New Roman" w:hAnsi="Times New Roman" w:cs="Times New Roman"/>
                <w:sz w:val="20"/>
                <w:szCs w:val="20"/>
                <w:highlight w:val="yellow"/>
              </w:rPr>
              <w:t>6 102,10</w:t>
            </w:r>
            <w:r>
              <w:rPr>
                <w:rFonts w:ascii="Times New Roman" w:hAnsi="Times New Roman" w:cs="Times New Roman"/>
                <w:sz w:val="20"/>
                <w:szCs w:val="20"/>
              </w:rPr>
              <w:t xml:space="preserve"> </w:t>
            </w:r>
          </w:p>
        </w:tc>
        <w:tc>
          <w:tcPr>
            <w:tcW w:w="992" w:type="dxa"/>
          </w:tcPr>
          <w:p w:rsidR="000B5321" w:rsidRDefault="000B5321"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0B5321">
              <w:rPr>
                <w:rFonts w:ascii="Times New Roman" w:eastAsia="Calibri" w:hAnsi="Times New Roman" w:cs="Times New Roman"/>
                <w:sz w:val="20"/>
                <w:szCs w:val="20"/>
                <w:highlight w:val="yellow"/>
              </w:rPr>
              <w:t>1 584,40</w:t>
            </w:r>
          </w:p>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097AB7" w:rsidRPr="00ED33F2" w:rsidTr="00CA4D0E">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097AB7" w:rsidRPr="00ED33F2" w:rsidTr="00CA4D0E">
        <w:trPr>
          <w:trHeight w:val="47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097AB7" w:rsidRPr="00171AEA" w:rsidRDefault="00097AB7" w:rsidP="00097AB7">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097AB7" w:rsidRPr="00ED33F2" w:rsidTr="00CA4D0E">
        <w:trPr>
          <w:trHeight w:val="20"/>
        </w:trPr>
        <w:tc>
          <w:tcPr>
            <w:tcW w:w="6550" w:type="dxa"/>
            <w:gridSpan w:val="3"/>
            <w:vMerge w:val="restart"/>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r>
              <w:rPr>
                <w:rFonts w:ascii="Times New Roman" w:eastAsia="Calibri" w:hAnsi="Times New Roman" w:cs="Times New Roman"/>
                <w:sz w:val="20"/>
                <w:szCs w:val="20"/>
              </w:rPr>
              <w:t xml:space="preserve">, </w:t>
            </w:r>
            <w:r w:rsidRPr="00842AFA">
              <w:rPr>
                <w:rFonts w:ascii="Times New Roman" w:eastAsia="Calibri" w:hAnsi="Times New Roman" w:cs="Times New Roman"/>
                <w:sz w:val="20"/>
                <w:szCs w:val="20"/>
              </w:rPr>
              <w:t xml:space="preserve">управление по учету и </w:t>
            </w:r>
            <w:r w:rsidRPr="007A1117">
              <w:rPr>
                <w:rFonts w:ascii="Times New Roman" w:eastAsia="Calibri" w:hAnsi="Times New Roman" w:cs="Times New Roman"/>
                <w:sz w:val="20"/>
                <w:szCs w:val="20"/>
              </w:rPr>
              <w:t>отчетности, МАУ «ОМЦ»)</w:t>
            </w: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097AB7" w:rsidRPr="00171AEA" w:rsidRDefault="00031A26" w:rsidP="00097AB7">
            <w:pPr>
              <w:spacing w:after="0" w:line="240" w:lineRule="auto"/>
              <w:jc w:val="center"/>
              <w:rPr>
                <w:rFonts w:ascii="Times New Roman" w:hAnsi="Times New Roman" w:cs="Times New Roman"/>
                <w:sz w:val="20"/>
                <w:szCs w:val="20"/>
              </w:rPr>
            </w:pPr>
            <w:r w:rsidRPr="00031A26">
              <w:rPr>
                <w:rFonts w:ascii="Times New Roman" w:hAnsi="Times New Roman" w:cs="Times New Roman"/>
                <w:sz w:val="20"/>
                <w:szCs w:val="20"/>
                <w:highlight w:val="yellow"/>
              </w:rPr>
              <w:t>35 885,50</w:t>
            </w:r>
          </w:p>
        </w:tc>
        <w:tc>
          <w:tcPr>
            <w:tcW w:w="992" w:type="dxa"/>
          </w:tcPr>
          <w:p w:rsidR="00097AB7" w:rsidRPr="00171AEA" w:rsidRDefault="00031A26"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B6471">
              <w:rPr>
                <w:rFonts w:ascii="Times New Roman" w:eastAsia="Calibri" w:hAnsi="Times New Roman" w:cs="Times New Roman"/>
                <w:sz w:val="20"/>
                <w:szCs w:val="20"/>
                <w:highlight w:val="yellow"/>
              </w:rPr>
              <w:t>6 942,5</w:t>
            </w:r>
            <w:r>
              <w:rPr>
                <w:rFonts w:ascii="Times New Roman" w:eastAsia="Calibri" w:hAnsi="Times New Roman" w:cs="Times New Roman"/>
                <w:sz w:val="20"/>
                <w:szCs w:val="20"/>
                <w:highlight w:val="yellow"/>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097AB7" w:rsidRPr="00ED33F2" w:rsidTr="00CA4D0E">
        <w:trPr>
          <w:trHeight w:val="20"/>
        </w:trPr>
        <w:tc>
          <w:tcPr>
            <w:tcW w:w="6550" w:type="dxa"/>
            <w:gridSpan w:val="3"/>
            <w:vMerge/>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097AB7" w:rsidRPr="00842AFA" w:rsidRDefault="00097AB7" w:rsidP="00097AB7">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097AB7" w:rsidRPr="00171AEA" w:rsidRDefault="00031A26" w:rsidP="00097AB7">
            <w:pPr>
              <w:spacing w:after="0" w:line="240" w:lineRule="auto"/>
              <w:jc w:val="center"/>
              <w:rPr>
                <w:rFonts w:ascii="Times New Roman" w:hAnsi="Times New Roman" w:cs="Times New Roman"/>
                <w:sz w:val="20"/>
                <w:szCs w:val="20"/>
              </w:rPr>
            </w:pPr>
            <w:r w:rsidRPr="00031A26">
              <w:rPr>
                <w:rFonts w:ascii="Times New Roman" w:hAnsi="Times New Roman" w:cs="Times New Roman"/>
                <w:sz w:val="20"/>
                <w:szCs w:val="20"/>
                <w:highlight w:val="yellow"/>
              </w:rPr>
              <w:t>35 885,50</w:t>
            </w:r>
          </w:p>
        </w:tc>
        <w:tc>
          <w:tcPr>
            <w:tcW w:w="992" w:type="dxa"/>
          </w:tcPr>
          <w:p w:rsidR="00097AB7" w:rsidRPr="00171AEA" w:rsidRDefault="00031A26"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B6471">
              <w:rPr>
                <w:rFonts w:ascii="Times New Roman" w:eastAsia="Calibri" w:hAnsi="Times New Roman" w:cs="Times New Roman"/>
                <w:sz w:val="20"/>
                <w:szCs w:val="20"/>
                <w:highlight w:val="yellow"/>
              </w:rPr>
              <w:t>6 942,5</w:t>
            </w:r>
            <w:r>
              <w:rPr>
                <w:rFonts w:ascii="Times New Roman" w:eastAsia="Calibri" w:hAnsi="Times New Roman" w:cs="Times New Roman"/>
                <w:sz w:val="20"/>
                <w:szCs w:val="20"/>
                <w:highlight w:val="yellow"/>
              </w:rPr>
              <w:t>0</w:t>
            </w:r>
          </w:p>
        </w:tc>
        <w:tc>
          <w:tcPr>
            <w:tcW w:w="992"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097AB7" w:rsidRPr="00171AEA" w:rsidRDefault="00097AB7" w:rsidP="00097AB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bl>
    <w:p w:rsidR="0076271E" w:rsidRDefault="0076271E" w:rsidP="00ED33F2">
      <w:pPr>
        <w:pStyle w:val="ConsPlusNormal"/>
        <w:jc w:val="right"/>
        <w:outlineLvl w:val="2"/>
        <w:rPr>
          <w:rFonts w:ascii="Times New Roman" w:hAnsi="Times New Roman" w:cs="Times New Roman"/>
          <w:sz w:val="28"/>
          <w:szCs w:val="28"/>
        </w:rPr>
      </w:pPr>
      <w:bookmarkStart w:id="1" w:name="P172"/>
      <w:bookmarkEnd w:id="1"/>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3</w:t>
      </w:r>
    </w:p>
    <w:p w:rsidR="00AF6513"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исполнение </w:t>
      </w:r>
    </w:p>
    <w:p w:rsidR="00AF6513" w:rsidRPr="00311371"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994F4D" w:rsidP="00ED33F2">
      <w:pPr>
        <w:pStyle w:val="ConsPlusNormal"/>
        <w:rPr>
          <w:rFonts w:ascii="Times New Roman" w:hAnsi="Times New Roman" w:cs="Times New Roman"/>
          <w:strike/>
          <w:sz w:val="24"/>
          <w:szCs w:val="24"/>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418"/>
        <w:gridCol w:w="1134"/>
        <w:gridCol w:w="850"/>
        <w:gridCol w:w="1843"/>
        <w:gridCol w:w="1843"/>
        <w:gridCol w:w="850"/>
        <w:gridCol w:w="851"/>
        <w:gridCol w:w="850"/>
        <w:gridCol w:w="851"/>
        <w:gridCol w:w="1134"/>
      </w:tblGrid>
      <w:tr w:rsidR="00250A03" w:rsidRPr="00ED33F2" w:rsidTr="0082429C">
        <w:trPr>
          <w:trHeight w:val="53"/>
        </w:trPr>
        <w:tc>
          <w:tcPr>
            <w:tcW w:w="436"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w:t>
            </w:r>
          </w:p>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1407"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портфеля проектов, проекта</w:t>
            </w:r>
          </w:p>
        </w:tc>
        <w:tc>
          <w:tcPr>
            <w:tcW w:w="1418"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Наименование проекта или мероприятия</w:t>
            </w:r>
          </w:p>
        </w:tc>
        <w:tc>
          <w:tcPr>
            <w:tcW w:w="1134" w:type="dxa"/>
            <w:vMerge w:val="restart"/>
            <w:noWrap/>
            <w:tcMar>
              <w:top w:w="0" w:type="dxa"/>
              <w:left w:w="0" w:type="dxa"/>
              <w:bottom w:w="0" w:type="dxa"/>
              <w:right w:w="0" w:type="dxa"/>
            </w:tcMar>
          </w:tcPr>
          <w:p w:rsidR="00250A03" w:rsidRPr="00ED33F2" w:rsidRDefault="00C10927" w:rsidP="00ED33F2">
            <w:pPr>
              <w:pStyle w:val="ConsPlusNormal"/>
              <w:jc w:val="center"/>
              <w:rPr>
                <w:rFonts w:ascii="Times New Roman" w:hAnsi="Times New Roman" w:cs="Times New Roman"/>
                <w:szCs w:val="22"/>
              </w:rPr>
            </w:pPr>
            <w:r>
              <w:rPr>
                <w:rFonts w:ascii="Times New Roman" w:hAnsi="Times New Roman" w:cs="Times New Roman"/>
                <w:szCs w:val="22"/>
              </w:rPr>
              <w:t xml:space="preserve">Номер основного </w:t>
            </w:r>
            <w:proofErr w:type="spellStart"/>
            <w:proofErr w:type="gramStart"/>
            <w:r>
              <w:rPr>
                <w:rFonts w:ascii="Times New Roman" w:hAnsi="Times New Roman" w:cs="Times New Roman"/>
                <w:szCs w:val="22"/>
              </w:rPr>
              <w:t>мероприя-</w:t>
            </w:r>
            <w:r w:rsidR="00250A03" w:rsidRPr="00ED33F2">
              <w:rPr>
                <w:rFonts w:ascii="Times New Roman" w:hAnsi="Times New Roman" w:cs="Times New Roman"/>
                <w:szCs w:val="22"/>
              </w:rPr>
              <w:t>тия</w:t>
            </w:r>
            <w:proofErr w:type="spellEnd"/>
            <w:proofErr w:type="gramEnd"/>
          </w:p>
        </w:tc>
        <w:tc>
          <w:tcPr>
            <w:tcW w:w="850"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Цели</w:t>
            </w:r>
          </w:p>
        </w:tc>
        <w:tc>
          <w:tcPr>
            <w:tcW w:w="1843"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Срок реализации</w:t>
            </w:r>
          </w:p>
        </w:tc>
        <w:tc>
          <w:tcPr>
            <w:tcW w:w="1843"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Источники финансирования</w:t>
            </w:r>
          </w:p>
        </w:tc>
        <w:tc>
          <w:tcPr>
            <w:tcW w:w="4536" w:type="dxa"/>
            <w:gridSpan w:val="5"/>
            <w:noWrap/>
            <w:tcMar>
              <w:top w:w="0" w:type="dxa"/>
              <w:left w:w="0" w:type="dxa"/>
              <w:bottom w:w="0" w:type="dxa"/>
              <w:right w:w="0" w:type="dxa"/>
            </w:tcMar>
          </w:tcPr>
          <w:p w:rsidR="00250A03" w:rsidRPr="00ED33F2" w:rsidRDefault="00250A03" w:rsidP="00250A03">
            <w:pPr>
              <w:pStyle w:val="ConsPlusNormal"/>
              <w:ind w:right="1367"/>
              <w:jc w:val="center"/>
              <w:rPr>
                <w:rFonts w:ascii="Times New Roman" w:hAnsi="Times New Roman" w:cs="Times New Roman"/>
                <w:szCs w:val="22"/>
              </w:rPr>
            </w:pPr>
            <w:r w:rsidRPr="00ED33F2">
              <w:rPr>
                <w:rFonts w:ascii="Times New Roman" w:hAnsi="Times New Roman" w:cs="Times New Roman"/>
                <w:szCs w:val="22"/>
              </w:rPr>
              <w:t xml:space="preserve">Параметры финансового обеспечения, </w:t>
            </w:r>
            <w:r w:rsidRPr="00ED33F2">
              <w:rPr>
                <w:rFonts w:ascii="Times New Roman" w:hAnsi="Times New Roman" w:cs="Times New Roman"/>
                <w:szCs w:val="22"/>
              </w:rPr>
              <w:br/>
              <w:t>тыс. рублей</w:t>
            </w:r>
          </w:p>
        </w:tc>
      </w:tr>
      <w:tr w:rsidR="00250A03" w:rsidRPr="00ED33F2" w:rsidTr="00250A03">
        <w:tc>
          <w:tcPr>
            <w:tcW w:w="436"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18"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134"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850"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всего</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w:t>
            </w:r>
          </w:p>
        </w:tc>
        <w:tc>
          <w:tcPr>
            <w:tcW w:w="1134" w:type="dxa"/>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2022 г.</w:t>
            </w:r>
          </w:p>
        </w:tc>
      </w:tr>
      <w:tr w:rsidR="00250A03" w:rsidRPr="00ED33F2" w:rsidTr="00250A03">
        <w:tc>
          <w:tcPr>
            <w:tcW w:w="436"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1</w:t>
            </w:r>
          </w:p>
        </w:tc>
        <w:tc>
          <w:tcPr>
            <w:tcW w:w="140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1134"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c>
          <w:tcPr>
            <w:tcW w:w="1134" w:type="dxa"/>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12</w:t>
            </w:r>
          </w:p>
        </w:tc>
      </w:tr>
      <w:tr w:rsidR="00250A03" w:rsidRPr="00ED33F2" w:rsidTr="00250A03">
        <w:tc>
          <w:tcPr>
            <w:tcW w:w="12333" w:type="dxa"/>
            <w:gridSpan w:val="11"/>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c>
          <w:tcPr>
            <w:tcW w:w="1134" w:type="dxa"/>
          </w:tcPr>
          <w:p w:rsidR="00250A03" w:rsidRPr="00ED33F2" w:rsidRDefault="00250A03" w:rsidP="00ED33F2">
            <w:pPr>
              <w:pStyle w:val="ConsPlusNormal"/>
              <w:jc w:val="center"/>
              <w:rPr>
                <w:rFonts w:ascii="Times New Roman" w:eastAsia="Calibri" w:hAnsi="Times New Roman" w:cs="Times New Roman"/>
                <w:szCs w:val="22"/>
                <w:lang w:eastAsia="en-US"/>
              </w:rPr>
            </w:pPr>
          </w:p>
        </w:tc>
      </w:tr>
      <w:tr w:rsidR="00250A03" w:rsidRPr="00ED33F2" w:rsidTr="00250A03">
        <w:tc>
          <w:tcPr>
            <w:tcW w:w="436"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245" w:type="dxa"/>
            <w:gridSpan w:val="4"/>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850" w:type="dxa"/>
            <w:noWrap/>
            <w:tcMar>
              <w:top w:w="0" w:type="dxa"/>
              <w:left w:w="0" w:type="dxa"/>
              <w:bottom w:w="0" w:type="dxa"/>
              <w:right w:w="0" w:type="dxa"/>
            </w:tcMar>
          </w:tcPr>
          <w:p w:rsidR="00250A03" w:rsidRPr="002A7859" w:rsidRDefault="00250A03" w:rsidP="00E331BF">
            <w:pPr>
              <w:spacing w:after="0" w:line="240" w:lineRule="auto"/>
              <w:jc w:val="center"/>
              <w:rPr>
                <w:rFonts w:ascii="Times New Roman" w:hAnsi="Times New Roman" w:cs="Times New Roman"/>
                <w:sz w:val="20"/>
                <w:szCs w:val="20"/>
                <w:highlight w:val="yellow"/>
              </w:rPr>
            </w:pPr>
          </w:p>
        </w:tc>
        <w:tc>
          <w:tcPr>
            <w:tcW w:w="851" w:type="dxa"/>
            <w:noWrap/>
            <w:tcMar>
              <w:top w:w="0" w:type="dxa"/>
              <w:left w:w="0" w:type="dxa"/>
              <w:bottom w:w="0" w:type="dxa"/>
              <w:right w:w="0" w:type="dxa"/>
            </w:tcMar>
          </w:tcPr>
          <w:p w:rsidR="00250A03" w:rsidRPr="002A7859" w:rsidRDefault="00250A03"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850"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250A03" w:rsidRPr="00ED33F2" w:rsidTr="00250A03">
        <w:trPr>
          <w:trHeight w:val="60"/>
        </w:trPr>
        <w:tc>
          <w:tcPr>
            <w:tcW w:w="436"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245" w:type="dxa"/>
            <w:gridSpan w:val="4"/>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tcBorders>
              <w:bottom w:val="single" w:sz="4" w:space="0" w:color="auto"/>
            </w:tcBorders>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850"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1"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1134" w:type="dxa"/>
            <w:tcBorders>
              <w:bottom w:val="single" w:sz="4" w:space="0" w:color="auto"/>
            </w:tcBorders>
          </w:tcPr>
          <w:p w:rsidR="00250A03" w:rsidRPr="00ED33F2" w:rsidRDefault="00250A03" w:rsidP="00ED33F2">
            <w:pPr>
              <w:spacing w:after="0" w:line="240" w:lineRule="auto"/>
              <w:jc w:val="center"/>
              <w:rPr>
                <w:rFonts w:ascii="Times New Roman" w:hAnsi="Times New Roman" w:cs="Times New Roman"/>
                <w:sz w:val="20"/>
                <w:szCs w:val="20"/>
              </w:rPr>
            </w:pPr>
          </w:p>
        </w:tc>
      </w:tr>
    </w:tbl>
    <w:p w:rsidR="00590D44" w:rsidRPr="00ED33F2" w:rsidRDefault="00590D44" w:rsidP="00590D44">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 xml:space="preserve">*Муниципальной программой не предусмотрены </w:t>
      </w:r>
      <w:r w:rsidR="00AF6513">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5104"/>
        <w:gridCol w:w="3260"/>
        <w:gridCol w:w="850"/>
        <w:gridCol w:w="851"/>
        <w:gridCol w:w="850"/>
        <w:gridCol w:w="1134"/>
        <w:gridCol w:w="2127"/>
      </w:tblGrid>
      <w:tr w:rsidR="00D01D65" w:rsidRPr="00ED33F2" w:rsidTr="0082429C">
        <w:tc>
          <w:tcPr>
            <w:tcW w:w="56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5104"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685" w:type="dxa"/>
            <w:gridSpan w:val="4"/>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12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D01D65" w:rsidRPr="00ED33F2" w:rsidTr="0082429C">
        <w:tc>
          <w:tcPr>
            <w:tcW w:w="56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5104"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0" w:type="dxa"/>
            <w:tcMar>
              <w:top w:w="0" w:type="dxa"/>
              <w:left w:w="28" w:type="dxa"/>
              <w:bottom w:w="0" w:type="dxa"/>
              <w:right w:w="28" w:type="dxa"/>
            </w:tcMar>
          </w:tcPr>
          <w:p w:rsidR="00D01D65" w:rsidRPr="00ED33F2" w:rsidRDefault="00D01D65" w:rsidP="0082429C">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1134" w:type="dxa"/>
          </w:tcPr>
          <w:p w:rsidR="00D01D65" w:rsidRPr="00ED33F2" w:rsidRDefault="00D01D65" w:rsidP="008242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212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r>
      <w:tr w:rsidR="00D01D65" w:rsidRPr="00ED33F2" w:rsidTr="0082429C">
        <w:tc>
          <w:tcPr>
            <w:tcW w:w="56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1134" w:type="dxa"/>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894243" w:rsidRPr="00542D53" w:rsidRDefault="00894243" w:rsidP="00894243">
            <w:pPr>
              <w:pStyle w:val="ConsPlusNormal"/>
              <w:jc w:val="center"/>
              <w:rPr>
                <w:rFonts w:ascii="Times New Roman" w:hAnsi="Times New Roman" w:cs="Times New Roman"/>
                <w:color w:val="FF0000"/>
                <w:sz w:val="24"/>
                <w:szCs w:val="24"/>
              </w:rPr>
            </w:pPr>
            <w:r w:rsidRPr="005E2450">
              <w:rPr>
                <w:rFonts w:ascii="Times New Roman" w:hAnsi="Times New Roman" w:cs="Times New Roman"/>
                <w:color w:val="000000" w:themeColor="text1"/>
                <w:sz w:val="24"/>
                <w:szCs w:val="24"/>
              </w:rPr>
              <w:t>770</w:t>
            </w:r>
          </w:p>
        </w:tc>
        <w:tc>
          <w:tcPr>
            <w:tcW w:w="851"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850"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770</w:t>
            </w:r>
          </w:p>
        </w:tc>
        <w:tc>
          <w:tcPr>
            <w:tcW w:w="2127" w:type="dxa"/>
            <w:tcMar>
              <w:top w:w="0" w:type="dxa"/>
              <w:left w:w="28" w:type="dxa"/>
              <w:bottom w:w="0" w:type="dxa"/>
              <w:right w:w="28" w:type="dxa"/>
            </w:tcMar>
          </w:tcPr>
          <w:p w:rsidR="00894243" w:rsidRPr="00ED33F2" w:rsidRDefault="00894243" w:rsidP="0082429C">
            <w:pPr>
              <w:pStyle w:val="ConsPlusNormal"/>
              <w:jc w:val="center"/>
              <w:rPr>
                <w:rFonts w:ascii="Times New Roman" w:hAnsi="Times New Roman" w:cs="Times New Roman"/>
                <w:sz w:val="24"/>
                <w:szCs w:val="24"/>
              </w:rPr>
            </w:pPr>
            <w:r>
              <w:rPr>
                <w:rFonts w:ascii="Times New Roman" w:hAnsi="Times New Roman" w:cs="Times New Roman"/>
                <w:sz w:val="24"/>
                <w:szCs w:val="24"/>
              </w:rPr>
              <w:t>770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РФ</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субъектов предпринимательства </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sidRPr="005E7C68">
              <w:rPr>
                <w:rFonts w:ascii="Times New Roman" w:hAnsi="Times New Roman" w:cs="Times New Roman"/>
                <w:color w:val="000000" w:themeColor="text1"/>
                <w:sz w:val="24"/>
                <w:szCs w:val="24"/>
              </w:rPr>
              <w:t>10</w:t>
            </w:r>
          </w:p>
          <w:p w:rsidR="00894243" w:rsidRPr="005E7C68" w:rsidRDefault="00894243" w:rsidP="00894243">
            <w:pPr>
              <w:pStyle w:val="ConsPlusNormal"/>
              <w:rPr>
                <w:rFonts w:ascii="Times New Roman" w:hAnsi="Times New Roman" w:cs="Times New Roman"/>
                <w:color w:val="000000" w:themeColor="text1"/>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 xml:space="preserve">количество юридических лиц, физических лиц, субъектов малого и среднего предпринимательства, обратившихся за услугой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2476A2">
              <w:rPr>
                <w:rFonts w:ascii="Times New Roman" w:hAnsi="Times New Roman" w:cs="Times New Roman"/>
                <w:color w:val="000000" w:themeColor="text1"/>
                <w:sz w:val="24"/>
                <w:szCs w:val="24"/>
              </w:rPr>
              <w:t>760</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1134" w:type="dxa"/>
          </w:tcPr>
          <w:p w:rsidR="00894243" w:rsidRPr="005E7C68"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2127" w:type="dxa"/>
            <w:tcMar>
              <w:top w:w="0" w:type="dxa"/>
              <w:left w:w="28" w:type="dxa"/>
              <w:bottom w:w="0" w:type="dxa"/>
              <w:right w:w="28" w:type="dxa"/>
            </w:tcMar>
          </w:tcPr>
          <w:p w:rsidR="00894243" w:rsidRPr="006275E4"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5104" w:type="dxa"/>
            <w:tcMar>
              <w:top w:w="0" w:type="dxa"/>
              <w:left w:w="28" w:type="dxa"/>
              <w:bottom w:w="0" w:type="dxa"/>
              <w:right w:w="28" w:type="dxa"/>
            </w:tcMar>
          </w:tcPr>
          <w:p w:rsidR="00894243" w:rsidRPr="00ED33F2" w:rsidRDefault="00894243" w:rsidP="00894243">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 xml:space="preserve">Содействие самозанятости безработных граждан, включая оказание гражданам, признанным в установленном порядке безработными, и </w:t>
            </w:r>
            <w:r w:rsidRPr="00ED33F2">
              <w:rPr>
                <w:rFonts w:ascii="Times New Roman" w:hAnsi="Times New Roman" w:cs="Times New Roman"/>
                <w:sz w:val="24"/>
                <w:szCs w:val="24"/>
              </w:rPr>
              <w:lastRenderedPageBreak/>
              <w:t>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894243" w:rsidRPr="00ED33F2" w:rsidRDefault="00894243" w:rsidP="00894243">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lastRenderedPageBreak/>
              <w:t>количество бизнес-планов</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894243" w:rsidRPr="00ED33F2" w:rsidRDefault="00894243" w:rsidP="00894243">
            <w:pPr>
              <w:pStyle w:val="ConsPlusNormal"/>
              <w:rPr>
                <w:rFonts w:ascii="Times New Roman" w:hAnsi="Times New Roman" w:cs="Times New Roman"/>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w:t>
            </w:r>
          </w:p>
        </w:tc>
      </w:tr>
      <w:tr w:rsidR="00894243" w:rsidRPr="00ED33F2" w:rsidTr="0082429C">
        <w:trPr>
          <w:trHeight w:val="53"/>
        </w:trPr>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164</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трудоустройства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35</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894243" w:rsidRPr="00ED33F2" w:rsidTr="0082429C">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4.2.</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129</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29</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212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r>
    </w:tbl>
    <w:p w:rsidR="00994F4D" w:rsidRPr="00FA26E1" w:rsidRDefault="00994F4D" w:rsidP="00ED33F2">
      <w:pPr>
        <w:pStyle w:val="ConsPlusNormal"/>
        <w:jc w:val="both"/>
        <w:rPr>
          <w:rFonts w:ascii="Times New Roman" w:hAnsi="Times New Roman" w:cs="Times New Roman"/>
          <w:sz w:val="18"/>
          <w:szCs w:val="24"/>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FA26E1" w:rsidRDefault="00994F4D" w:rsidP="00ED33F2">
      <w:pPr>
        <w:pStyle w:val="ConsPlusNormal"/>
        <w:jc w:val="both"/>
        <w:rPr>
          <w:rFonts w:ascii="Times New Roman" w:hAnsi="Times New Roman" w:cs="Times New Roman"/>
          <w:sz w:val="16"/>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п</w:t>
            </w:r>
            <w:r w:rsidR="00994F4D" w:rsidRPr="00ED33F2">
              <w:rPr>
                <w:rFonts w:ascii="Times New Roman" w:hAnsi="Times New Roman" w:cs="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w:t>
            </w:r>
            <w:r w:rsidR="00994F4D" w:rsidRPr="00ED33F2">
              <w:rPr>
                <w:rFonts w:ascii="Times New Roman" w:hAnsi="Times New Roman" w:cs="Times New Roman"/>
                <w:kern w:val="1"/>
                <w:szCs w:val="22"/>
              </w:rPr>
              <w:lastRenderedPageBreak/>
              <w:t>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FA26E1" w:rsidRDefault="00994F4D" w:rsidP="00ED33F2">
      <w:pPr>
        <w:pStyle w:val="ConsPlusNormal"/>
        <w:jc w:val="both"/>
        <w:rPr>
          <w:rFonts w:ascii="Times New Roman" w:hAnsi="Times New Roman" w:cs="Times New Roman"/>
          <w:sz w:val="18"/>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82429C" w:rsidRDefault="00994F4D" w:rsidP="00ED33F2">
      <w:pPr>
        <w:pStyle w:val="ConsPlusNormal"/>
        <w:jc w:val="right"/>
        <w:rPr>
          <w:rFonts w:ascii="Times New Roman" w:hAnsi="Times New Roman" w:cs="Times New Roman"/>
          <w:sz w:val="20"/>
          <w:szCs w:val="28"/>
        </w:rPr>
      </w:pPr>
    </w:p>
    <w:tbl>
      <w:tblPr>
        <w:tblW w:w="140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278"/>
      </w:tblGrid>
      <w:tr w:rsidR="00994F4D" w:rsidRPr="00ED33F2" w:rsidTr="0076271E">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76271E">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FA26E1" w:rsidRDefault="00BD4BBA" w:rsidP="00ED33F2">
      <w:pPr>
        <w:spacing w:after="0" w:line="240" w:lineRule="auto"/>
        <w:ind w:firstLine="709"/>
        <w:jc w:val="both"/>
        <w:rPr>
          <w:rFonts w:ascii="Times New Roman" w:eastAsia="Calibri" w:hAnsi="Times New Roman" w:cs="Times New Roman"/>
          <w:szCs w:val="24"/>
        </w:rPr>
      </w:pPr>
      <w:r w:rsidRPr="00FA26E1">
        <w:rPr>
          <w:rFonts w:ascii="Times New Roman" w:eastAsia="Calibri" w:hAnsi="Times New Roman" w:cs="Times New Roman"/>
          <w:szCs w:val="24"/>
        </w:rPr>
        <w:t>*М</w:t>
      </w:r>
      <w:r w:rsidR="00994F4D" w:rsidRPr="00FA26E1">
        <w:rPr>
          <w:rFonts w:ascii="Times New Roman" w:eastAsia="Calibri" w:hAnsi="Times New Roman" w:cs="Times New Roman"/>
          <w:szCs w:val="24"/>
        </w:rPr>
        <w:t>униципальной программой не предусмотрены объекты капитального строительства</w:t>
      </w:r>
      <w:r w:rsidRPr="00FA26E1">
        <w:rPr>
          <w:rFonts w:ascii="Times New Roman" w:eastAsia="Calibri" w:hAnsi="Times New Roman" w:cs="Times New Roman"/>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ED33F2">
        <w:rPr>
          <w:rFonts w:ascii="Times New Roman" w:eastAsia="Calibri" w:hAnsi="Times New Roman" w:cs="Times New Roman"/>
          <w:color w:val="000000"/>
          <w:sz w:val="28"/>
          <w:szCs w:val="28"/>
        </w:rPr>
        <w:t>проекты) *</w:t>
      </w:r>
    </w:p>
    <w:p w:rsidR="00994F4D" w:rsidRPr="0082429C" w:rsidRDefault="00994F4D" w:rsidP="00ED33F2">
      <w:pPr>
        <w:pStyle w:val="ConsPlusNormal"/>
        <w:jc w:val="right"/>
        <w:rPr>
          <w:rFonts w:ascii="Times New Roman" w:hAnsi="Times New Roman" w:cs="Times New Roman"/>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670"/>
      </w:tblGrid>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82429C" w:rsidRDefault="00BD4BBA" w:rsidP="00ED33F2">
      <w:pPr>
        <w:spacing w:after="0" w:line="240" w:lineRule="auto"/>
        <w:ind w:firstLine="709"/>
        <w:jc w:val="both"/>
        <w:rPr>
          <w:rFonts w:ascii="Times New Roman" w:eastAsia="Calibri" w:hAnsi="Times New Roman" w:cs="Times New Roman"/>
          <w:color w:val="000000"/>
          <w:szCs w:val="24"/>
          <w:lang w:eastAsia="ru-RU"/>
        </w:rPr>
      </w:pPr>
      <w:r w:rsidRPr="0082429C">
        <w:rPr>
          <w:rFonts w:ascii="Times New Roman" w:eastAsia="Calibri" w:hAnsi="Times New Roman" w:cs="Times New Roman"/>
          <w:szCs w:val="24"/>
          <w:lang w:val="x-none"/>
        </w:rPr>
        <w:t xml:space="preserve">* </w:t>
      </w:r>
      <w:r w:rsidR="00C0140A" w:rsidRPr="0082429C">
        <w:rPr>
          <w:rFonts w:ascii="Times New Roman" w:eastAsia="Calibri" w:hAnsi="Times New Roman" w:cs="Times New Roman"/>
          <w:szCs w:val="24"/>
          <w:lang w:val="x-none"/>
        </w:rPr>
        <w:t>М</w:t>
      </w:r>
      <w:r w:rsidR="00C0140A" w:rsidRPr="0082429C">
        <w:rPr>
          <w:rFonts w:ascii="Times New Roman" w:eastAsia="Calibri" w:hAnsi="Times New Roman" w:cs="Times New Roman"/>
          <w:szCs w:val="24"/>
        </w:rPr>
        <w:t xml:space="preserve">униципальной </w:t>
      </w:r>
      <w:r w:rsidR="00C0140A" w:rsidRPr="0082429C">
        <w:rPr>
          <w:rFonts w:ascii="Times New Roman" w:eastAsia="Calibri" w:hAnsi="Times New Roman" w:cs="Times New Roman"/>
          <w:szCs w:val="24"/>
          <w:lang w:val="x-none"/>
        </w:rPr>
        <w:t>программой не предусмотрены о</w:t>
      </w:r>
      <w:r w:rsidR="00C0140A" w:rsidRPr="0082429C">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82429C">
        <w:rPr>
          <w:rFonts w:ascii="Times New Roman" w:eastAsia="Calibri" w:hAnsi="Times New Roman" w:cs="Times New Roman"/>
          <w:color w:val="000000"/>
          <w:szCs w:val="24"/>
          <w:lang w:eastAsia="ru-RU"/>
        </w:rPr>
        <w:t>на</w:t>
      </w:r>
      <w:r w:rsidR="00C0140A" w:rsidRPr="0082429C">
        <w:rPr>
          <w:rFonts w:ascii="Times New Roman" w:eastAsia="Calibri" w:hAnsi="Times New Roman" w:cs="Times New Roman"/>
          <w:color w:val="000000"/>
          <w:szCs w:val="24"/>
          <w:lang w:val="x-none" w:eastAsia="ru-RU"/>
        </w:rPr>
        <w:t xml:space="preserve">значения, </w:t>
      </w:r>
      <w:r w:rsidR="00CA114A" w:rsidRPr="0082429C">
        <w:rPr>
          <w:rFonts w:ascii="Times New Roman" w:eastAsia="Calibri" w:hAnsi="Times New Roman" w:cs="Times New Roman"/>
          <w:color w:val="000000"/>
          <w:szCs w:val="24"/>
          <w:lang w:val="x-none" w:eastAsia="ru-RU"/>
        </w:rPr>
        <w:br/>
      </w:r>
      <w:r w:rsidR="00C0140A" w:rsidRPr="0082429C">
        <w:rPr>
          <w:rFonts w:ascii="Times New Roman" w:eastAsia="Calibri" w:hAnsi="Times New Roman" w:cs="Times New Roman"/>
          <w:color w:val="000000"/>
          <w:szCs w:val="24"/>
          <w:lang w:eastAsia="ru-RU"/>
        </w:rPr>
        <w:t>а также масштабные инвестиционные проекты</w:t>
      </w:r>
      <w:r w:rsidR="00EE1C7B" w:rsidRPr="0082429C">
        <w:rPr>
          <w:rFonts w:ascii="Times New Roman" w:eastAsia="Calibri" w:hAnsi="Times New Roman" w:cs="Times New Roman"/>
          <w:color w:val="000000"/>
          <w:szCs w:val="24"/>
          <w:lang w:eastAsia="ru-RU"/>
        </w:rPr>
        <w:t>.</w:t>
      </w:r>
    </w:p>
    <w:p w:rsidR="00FA26E1" w:rsidRDefault="00FA26E1"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lastRenderedPageBreak/>
        <w:t>Таблица 8</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05"/>
        <w:gridCol w:w="3806"/>
        <w:gridCol w:w="2344"/>
        <w:gridCol w:w="2347"/>
        <w:gridCol w:w="2338"/>
        <w:gridCol w:w="2353"/>
      </w:tblGrid>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Pr="0082429C" w:rsidRDefault="00962010" w:rsidP="00ED33F2">
      <w:pPr>
        <w:spacing w:after="0" w:line="240" w:lineRule="auto"/>
        <w:ind w:firstLine="709"/>
        <w:jc w:val="both"/>
        <w:rPr>
          <w:rFonts w:ascii="Times New Roman" w:eastAsia="Arial Unicode MS" w:hAnsi="Times New Roman" w:cs="Times New Roman"/>
        </w:rPr>
      </w:pPr>
      <w:r w:rsidRPr="0082429C">
        <w:rPr>
          <w:rFonts w:ascii="Times New Roman" w:eastAsia="Arial Unicode MS" w:hAnsi="Times New Roman" w:cs="Times New Roman"/>
        </w:rPr>
        <w:t>* 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sidRPr="0082429C">
        <w:rPr>
          <w:rFonts w:ascii="Times New Roman" w:eastAsia="Arial Unicode MS" w:hAnsi="Times New Roman" w:cs="Times New Roman"/>
        </w:rPr>
        <w:t>.</w:t>
      </w:r>
    </w:p>
    <w:p w:rsidR="00D131DB" w:rsidRPr="00AC5E1B" w:rsidRDefault="00D131DB" w:rsidP="00D131DB">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D131DB" w:rsidRPr="00AC5E1B" w:rsidRDefault="00D131DB" w:rsidP="00D131DB">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Pr>
          <w:rFonts w:ascii="Times New Roman" w:hAnsi="Times New Roman" w:cs="Times New Roman"/>
          <w:sz w:val="28"/>
          <w:szCs w:val="28"/>
        </w:rPr>
        <w:t>,</w:t>
      </w:r>
      <w:r w:rsidRPr="00AC5E1B">
        <w:rPr>
          <w:rFonts w:ascii="Times New Roman" w:hAnsi="Times New Roman" w:cs="Times New Roman"/>
          <w:sz w:val="28"/>
          <w:szCs w:val="28"/>
        </w:rPr>
        <w:t xml:space="preserve"> на </w:t>
      </w:r>
      <w:r>
        <w:rPr>
          <w:rFonts w:ascii="Times New Roman" w:hAnsi="Times New Roman" w:cs="Times New Roman"/>
          <w:sz w:val="28"/>
          <w:szCs w:val="28"/>
        </w:rPr>
        <w:t>2019 – 2024 годы</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126"/>
        <w:gridCol w:w="2268"/>
        <w:gridCol w:w="1843"/>
        <w:gridCol w:w="4820"/>
      </w:tblGrid>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820" w:type="dxa"/>
            <w:shd w:val="clear" w:color="auto" w:fill="auto"/>
          </w:tcPr>
          <w:p w:rsidR="00D131DB" w:rsidRPr="00AC5E1B" w:rsidRDefault="00D131DB" w:rsidP="0082429C">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126"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2268"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1843"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820" w:type="dxa"/>
            <w:shd w:val="clear" w:color="auto" w:fill="auto"/>
          </w:tcPr>
          <w:p w:rsidR="00D131DB" w:rsidRPr="008D5663" w:rsidRDefault="00D131DB" w:rsidP="0082429C">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D131DB" w:rsidRPr="00AC5E1B" w:rsidTr="00C87058">
        <w:tc>
          <w:tcPr>
            <w:tcW w:w="14029" w:type="dxa"/>
            <w:gridSpan w:val="6"/>
            <w:shd w:val="clear" w:color="auto" w:fill="auto"/>
          </w:tcPr>
          <w:p w:rsidR="00D131DB" w:rsidRPr="008D5663" w:rsidRDefault="00D131DB" w:rsidP="0082429C">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показателя</w:t>
            </w: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r w:rsidR="00D131DB" w:rsidRPr="00AC5E1B" w:rsidTr="00C87058">
        <w:tc>
          <w:tcPr>
            <w:tcW w:w="675" w:type="dxa"/>
            <w:shd w:val="clear" w:color="auto" w:fill="auto"/>
          </w:tcPr>
          <w:p w:rsidR="00D131DB" w:rsidRPr="008D5663" w:rsidRDefault="00D131DB" w:rsidP="0082429C">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82429C">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82429C">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82429C">
            <w:pPr>
              <w:widowControl w:val="0"/>
              <w:autoSpaceDE w:val="0"/>
              <w:autoSpaceDN w:val="0"/>
              <w:spacing w:after="0" w:line="240" w:lineRule="auto"/>
              <w:ind w:firstLine="709"/>
              <w:rPr>
                <w:rFonts w:ascii="Times New Roman" w:hAnsi="Times New Roman" w:cs="Times New Roman"/>
                <w:sz w:val="28"/>
                <w:szCs w:val="28"/>
              </w:rPr>
            </w:pPr>
          </w:p>
        </w:tc>
      </w:tr>
    </w:tbl>
    <w:p w:rsidR="00D131DB" w:rsidRPr="00FA26E1" w:rsidRDefault="00A542ED" w:rsidP="00ED33F2">
      <w:pPr>
        <w:spacing w:after="0" w:line="240" w:lineRule="auto"/>
        <w:ind w:firstLine="709"/>
        <w:jc w:val="both"/>
        <w:rPr>
          <w:rFonts w:ascii="Times New Roman" w:eastAsia="Calibri" w:hAnsi="Times New Roman" w:cs="Times New Roman"/>
        </w:rPr>
      </w:pPr>
      <w:r w:rsidRPr="00FA26E1">
        <w:rPr>
          <w:rFonts w:ascii="Times New Roman" w:eastAsia="Calibri" w:hAnsi="Times New Roman" w:cs="Times New Roman"/>
          <w:lang w:val="x-none"/>
        </w:rPr>
        <w:t>* М</w:t>
      </w:r>
      <w:r w:rsidRPr="00FA26E1">
        <w:rPr>
          <w:rFonts w:ascii="Times New Roman" w:eastAsia="Calibri" w:hAnsi="Times New Roman" w:cs="Times New Roman"/>
        </w:rPr>
        <w:t xml:space="preserve">униципальной </w:t>
      </w:r>
      <w:r w:rsidRPr="00FA26E1">
        <w:rPr>
          <w:rFonts w:ascii="Times New Roman" w:eastAsia="Calibri" w:hAnsi="Times New Roman" w:cs="Times New Roman"/>
          <w:lang w:val="x-none"/>
        </w:rPr>
        <w:t>программой не предусмотрены</w:t>
      </w:r>
      <w:r w:rsidRPr="00FA26E1">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FA26E1">
        <w:rPr>
          <w:rFonts w:ascii="Times New Roman" w:eastAsia="Calibri" w:hAnsi="Times New Roman" w:cs="Times New Roman"/>
        </w:rPr>
        <w:t xml:space="preserve"> – </w:t>
      </w:r>
      <w:r w:rsidRPr="00FA26E1">
        <w:rPr>
          <w:rFonts w:ascii="Times New Roman" w:eastAsia="Calibri" w:hAnsi="Times New Roman" w:cs="Times New Roman"/>
        </w:rPr>
        <w:t>Югры</w:t>
      </w:r>
      <w:r w:rsidR="0082429C" w:rsidRPr="00FA26E1">
        <w:rPr>
          <w:rFonts w:ascii="Times New Roman" w:eastAsia="Calibri" w:hAnsi="Times New Roman" w:cs="Times New Roman"/>
        </w:rPr>
        <w:t>.».</w:t>
      </w:r>
    </w:p>
    <w:p w:rsidR="00FA26E1" w:rsidRDefault="00FA26E1" w:rsidP="00ED33F2">
      <w:pPr>
        <w:pStyle w:val="FR1"/>
        <w:tabs>
          <w:tab w:val="left" w:pos="993"/>
        </w:tabs>
        <w:spacing w:line="240" w:lineRule="auto"/>
        <w:ind w:firstLine="709"/>
        <w:jc w:val="both"/>
        <w:rPr>
          <w:b w:val="0"/>
        </w:rPr>
      </w:pPr>
    </w:p>
    <w:p w:rsidR="00FA26E1" w:rsidRDefault="00FA26E1" w:rsidP="00ED33F2">
      <w:pPr>
        <w:pStyle w:val="FR1"/>
        <w:tabs>
          <w:tab w:val="left" w:pos="993"/>
        </w:tabs>
        <w:spacing w:line="240" w:lineRule="auto"/>
        <w:ind w:firstLine="709"/>
        <w:jc w:val="both"/>
        <w:rPr>
          <w:b w:val="0"/>
        </w:rPr>
        <w:sectPr w:rsidR="00FA26E1" w:rsidSect="0082429C">
          <w:headerReference w:type="default" r:id="rId10"/>
          <w:pgSz w:w="16838" w:h="11905" w:orient="landscape"/>
          <w:pgMar w:top="1418" w:right="1276" w:bottom="1134" w:left="1559" w:header="567" w:footer="0" w:gutter="0"/>
          <w:cols w:space="720"/>
          <w:titlePg/>
          <w:docGrid w:linePitch="299"/>
        </w:sectPr>
      </w:pPr>
    </w:p>
    <w:p w:rsidR="004E7ABE" w:rsidRPr="00ED33F2" w:rsidRDefault="004E7ABE" w:rsidP="00ED33F2">
      <w:pPr>
        <w:pStyle w:val="FR1"/>
        <w:tabs>
          <w:tab w:val="left" w:pos="993"/>
        </w:tabs>
        <w:spacing w:line="240" w:lineRule="auto"/>
        <w:ind w:firstLine="709"/>
        <w:jc w:val="both"/>
        <w:rPr>
          <w:b w:val="0"/>
        </w:rPr>
      </w:pPr>
      <w:r w:rsidRPr="00ED33F2">
        <w:rPr>
          <w:b w:val="0"/>
        </w:rPr>
        <w:lastRenderedPageBreak/>
        <w:t xml:space="preserve">2. </w:t>
      </w:r>
      <w:r w:rsidRPr="00ED33F2">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ED33F2">
        <w:rPr>
          <w:b w:val="0"/>
        </w:rPr>
        <w:t>.</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7B5E08"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832B27">
        <w:rPr>
          <w:rFonts w:ascii="Times New Roman" w:hAnsi="Times New Roman" w:cs="Times New Roman"/>
          <w:sz w:val="28"/>
          <w:szCs w:val="28"/>
        </w:rPr>
        <w:t>лав</w:t>
      </w:r>
      <w:r>
        <w:rPr>
          <w:rFonts w:ascii="Times New Roman" w:hAnsi="Times New Roman" w:cs="Times New Roman"/>
          <w:sz w:val="28"/>
          <w:szCs w:val="28"/>
        </w:rPr>
        <w:t>а</w:t>
      </w:r>
      <w:r w:rsidR="00832B27">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FA26E1">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r w:rsidR="0082429C">
        <w:rPr>
          <w:rFonts w:ascii="Times New Roman" w:hAnsi="Times New Roman" w:cs="Times New Roman"/>
          <w:sz w:val="28"/>
          <w:szCs w:val="28"/>
        </w:rPr>
        <w:t>К.Р.</w:t>
      </w:r>
      <w:r>
        <w:rPr>
          <w:rFonts w:ascii="Times New Roman" w:hAnsi="Times New Roman" w:cs="Times New Roman"/>
          <w:sz w:val="28"/>
          <w:szCs w:val="28"/>
        </w:rPr>
        <w:t>Минулин</w:t>
      </w:r>
    </w:p>
    <w:sectPr w:rsidR="004E7ABE" w:rsidRPr="00832B27" w:rsidSect="00FA26E1">
      <w:pgSz w:w="11905" w:h="16838"/>
      <w:pgMar w:top="1276" w:right="1134" w:bottom="1559" w:left="1418"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77" w:rsidRDefault="00BC6077" w:rsidP="00EE283D">
      <w:pPr>
        <w:spacing w:after="0" w:line="240" w:lineRule="auto"/>
      </w:pPr>
      <w:r>
        <w:separator/>
      </w:r>
    </w:p>
  </w:endnote>
  <w:endnote w:type="continuationSeparator" w:id="0">
    <w:p w:rsidR="00BC6077" w:rsidRDefault="00BC6077"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77" w:rsidRDefault="00BC6077" w:rsidP="00EE283D">
      <w:pPr>
        <w:spacing w:after="0" w:line="240" w:lineRule="auto"/>
      </w:pPr>
      <w:r>
        <w:separator/>
      </w:r>
    </w:p>
  </w:footnote>
  <w:footnote w:type="continuationSeparator" w:id="0">
    <w:p w:rsidR="00BC6077" w:rsidRDefault="00BC6077"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75638"/>
      <w:docPartObj>
        <w:docPartGallery w:val="Page Numbers (Top of Page)"/>
        <w:docPartUnique/>
      </w:docPartObj>
    </w:sdtPr>
    <w:sdtContent>
      <w:p w:rsidR="00BC6077" w:rsidRPr="00694CF2" w:rsidRDefault="00BC6077"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001B37" w:rsidRPr="00001B37">
          <w:rPr>
            <w:rFonts w:ascii="Times New Roman" w:hAnsi="Times New Roman"/>
            <w:noProof/>
            <w:sz w:val="26"/>
            <w:szCs w:val="26"/>
            <w:lang w:val="ru-RU"/>
          </w:rPr>
          <w:t>8</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66543"/>
      <w:docPartObj>
        <w:docPartGallery w:val="Page Numbers (Top of Page)"/>
        <w:docPartUnique/>
      </w:docPartObj>
    </w:sdtPr>
    <w:sdtContent>
      <w:p w:rsidR="00BC6077" w:rsidRDefault="00BC6077">
        <w:pPr>
          <w:pStyle w:val="ac"/>
          <w:jc w:val="center"/>
        </w:pPr>
        <w:r>
          <w:fldChar w:fldCharType="begin"/>
        </w:r>
        <w:r>
          <w:instrText>PAGE   \* MERGEFORMAT</w:instrText>
        </w:r>
        <w:r>
          <w:fldChar w:fldCharType="separate"/>
        </w:r>
        <w:r w:rsidR="00001B37" w:rsidRPr="00001B37">
          <w:rPr>
            <w:noProof/>
            <w:lang w:val="ru-RU"/>
          </w:rPr>
          <w:t>9</w:t>
        </w:r>
        <w:r>
          <w:fldChar w:fldCharType="end"/>
        </w:r>
      </w:p>
    </w:sdtContent>
  </w:sdt>
  <w:p w:rsidR="00BC6077" w:rsidRPr="00922DDB" w:rsidRDefault="00BC6077"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80167"/>
      <w:docPartObj>
        <w:docPartGallery w:val="Page Numbers (Top of Page)"/>
        <w:docPartUnique/>
      </w:docPartObj>
    </w:sdtPr>
    <w:sdtEndPr>
      <w:rPr>
        <w:rFonts w:ascii="Times New Roman" w:hAnsi="Times New Roman"/>
        <w:sz w:val="26"/>
        <w:szCs w:val="26"/>
      </w:rPr>
    </w:sdtEndPr>
    <w:sdtContent>
      <w:p w:rsidR="00BC6077" w:rsidRPr="00254CB9" w:rsidRDefault="00BC6077"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001B37" w:rsidRPr="00001B37">
          <w:rPr>
            <w:rFonts w:ascii="Times New Roman" w:hAnsi="Times New Roman"/>
            <w:noProof/>
            <w:sz w:val="26"/>
            <w:szCs w:val="26"/>
            <w:lang w:val="ru-RU"/>
          </w:rPr>
          <w:t>11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3114F"/>
    <w:rsid w:val="00031A26"/>
    <w:rsid w:val="0004401F"/>
    <w:rsid w:val="00045310"/>
    <w:rsid w:val="00045FEB"/>
    <w:rsid w:val="00047827"/>
    <w:rsid w:val="000558AA"/>
    <w:rsid w:val="00060B8A"/>
    <w:rsid w:val="000648A9"/>
    <w:rsid w:val="00070AE4"/>
    <w:rsid w:val="00070F9E"/>
    <w:rsid w:val="000747DF"/>
    <w:rsid w:val="000752AA"/>
    <w:rsid w:val="0007538D"/>
    <w:rsid w:val="0009397C"/>
    <w:rsid w:val="00094A97"/>
    <w:rsid w:val="00097631"/>
    <w:rsid w:val="00097AB7"/>
    <w:rsid w:val="000A3C36"/>
    <w:rsid w:val="000B5321"/>
    <w:rsid w:val="000C2040"/>
    <w:rsid w:val="000C53B9"/>
    <w:rsid w:val="000D28C1"/>
    <w:rsid w:val="000E3D2A"/>
    <w:rsid w:val="000F1B2A"/>
    <w:rsid w:val="00103930"/>
    <w:rsid w:val="001069C8"/>
    <w:rsid w:val="00114780"/>
    <w:rsid w:val="001259F2"/>
    <w:rsid w:val="00125EFB"/>
    <w:rsid w:val="001306F3"/>
    <w:rsid w:val="00131A1D"/>
    <w:rsid w:val="00156B9B"/>
    <w:rsid w:val="00156FD4"/>
    <w:rsid w:val="0015729A"/>
    <w:rsid w:val="001672CD"/>
    <w:rsid w:val="00171AEA"/>
    <w:rsid w:val="00177726"/>
    <w:rsid w:val="0019365C"/>
    <w:rsid w:val="001964A9"/>
    <w:rsid w:val="001A17BA"/>
    <w:rsid w:val="001A7A11"/>
    <w:rsid w:val="001B6471"/>
    <w:rsid w:val="001B799E"/>
    <w:rsid w:val="001C086D"/>
    <w:rsid w:val="001C2E9E"/>
    <w:rsid w:val="001D2B06"/>
    <w:rsid w:val="001E0F23"/>
    <w:rsid w:val="001F2DE3"/>
    <w:rsid w:val="001F347D"/>
    <w:rsid w:val="001F5582"/>
    <w:rsid w:val="002059A6"/>
    <w:rsid w:val="002101AE"/>
    <w:rsid w:val="002163B6"/>
    <w:rsid w:val="0022526C"/>
    <w:rsid w:val="0023018F"/>
    <w:rsid w:val="00231BB4"/>
    <w:rsid w:val="002422BA"/>
    <w:rsid w:val="00243EA1"/>
    <w:rsid w:val="00250A03"/>
    <w:rsid w:val="00255904"/>
    <w:rsid w:val="002704C9"/>
    <w:rsid w:val="00277BDE"/>
    <w:rsid w:val="00280EE7"/>
    <w:rsid w:val="00292720"/>
    <w:rsid w:val="002A230F"/>
    <w:rsid w:val="002A5B02"/>
    <w:rsid w:val="002A5CDF"/>
    <w:rsid w:val="002A7859"/>
    <w:rsid w:val="002B5C4D"/>
    <w:rsid w:val="002B62CD"/>
    <w:rsid w:val="002B7044"/>
    <w:rsid w:val="002C114F"/>
    <w:rsid w:val="002C4C6F"/>
    <w:rsid w:val="002C4D87"/>
    <w:rsid w:val="002D20FD"/>
    <w:rsid w:val="002D7C99"/>
    <w:rsid w:val="002E02CC"/>
    <w:rsid w:val="002E438E"/>
    <w:rsid w:val="002E5C21"/>
    <w:rsid w:val="002F2208"/>
    <w:rsid w:val="002F4D67"/>
    <w:rsid w:val="00313629"/>
    <w:rsid w:val="00316B3F"/>
    <w:rsid w:val="00321FF8"/>
    <w:rsid w:val="00340B09"/>
    <w:rsid w:val="00345FDF"/>
    <w:rsid w:val="00356175"/>
    <w:rsid w:val="003731A7"/>
    <w:rsid w:val="00382EC5"/>
    <w:rsid w:val="00390EAE"/>
    <w:rsid w:val="00391D77"/>
    <w:rsid w:val="00395705"/>
    <w:rsid w:val="00396492"/>
    <w:rsid w:val="003A62EA"/>
    <w:rsid w:val="003A78BF"/>
    <w:rsid w:val="003A7A82"/>
    <w:rsid w:val="003B1DB5"/>
    <w:rsid w:val="003B7FB6"/>
    <w:rsid w:val="003D09DC"/>
    <w:rsid w:val="003F57C5"/>
    <w:rsid w:val="00402921"/>
    <w:rsid w:val="00412167"/>
    <w:rsid w:val="004153A9"/>
    <w:rsid w:val="00436DDB"/>
    <w:rsid w:val="00440FB8"/>
    <w:rsid w:val="004437AC"/>
    <w:rsid w:val="00452BBD"/>
    <w:rsid w:val="00452DBF"/>
    <w:rsid w:val="004534F4"/>
    <w:rsid w:val="00460177"/>
    <w:rsid w:val="00482B8E"/>
    <w:rsid w:val="00485BF3"/>
    <w:rsid w:val="00493A54"/>
    <w:rsid w:val="00495A76"/>
    <w:rsid w:val="00495F5A"/>
    <w:rsid w:val="00497942"/>
    <w:rsid w:val="004A0819"/>
    <w:rsid w:val="004A6188"/>
    <w:rsid w:val="004A7BF3"/>
    <w:rsid w:val="004B06F0"/>
    <w:rsid w:val="004B2419"/>
    <w:rsid w:val="004B5A70"/>
    <w:rsid w:val="004C2C6E"/>
    <w:rsid w:val="004C5410"/>
    <w:rsid w:val="004C6240"/>
    <w:rsid w:val="004E0DF5"/>
    <w:rsid w:val="004E7ABE"/>
    <w:rsid w:val="004F1237"/>
    <w:rsid w:val="004F384C"/>
    <w:rsid w:val="004F61A4"/>
    <w:rsid w:val="00510711"/>
    <w:rsid w:val="00511FD1"/>
    <w:rsid w:val="00517506"/>
    <w:rsid w:val="00521544"/>
    <w:rsid w:val="0052214E"/>
    <w:rsid w:val="0052593B"/>
    <w:rsid w:val="00530C0D"/>
    <w:rsid w:val="005335FA"/>
    <w:rsid w:val="005471E3"/>
    <w:rsid w:val="00551727"/>
    <w:rsid w:val="00553352"/>
    <w:rsid w:val="0056092A"/>
    <w:rsid w:val="00563C57"/>
    <w:rsid w:val="00565DCC"/>
    <w:rsid w:val="005853BD"/>
    <w:rsid w:val="00590D44"/>
    <w:rsid w:val="00592D42"/>
    <w:rsid w:val="005A1E7A"/>
    <w:rsid w:val="005A66F1"/>
    <w:rsid w:val="005A6837"/>
    <w:rsid w:val="005A68FD"/>
    <w:rsid w:val="005A6CE5"/>
    <w:rsid w:val="005B0F59"/>
    <w:rsid w:val="005B36FF"/>
    <w:rsid w:val="005C69E3"/>
    <w:rsid w:val="005D2373"/>
    <w:rsid w:val="005E68D0"/>
    <w:rsid w:val="005E7C68"/>
    <w:rsid w:val="005F1BD8"/>
    <w:rsid w:val="00603708"/>
    <w:rsid w:val="00603BC0"/>
    <w:rsid w:val="00611A93"/>
    <w:rsid w:val="00613616"/>
    <w:rsid w:val="00615123"/>
    <w:rsid w:val="006275E4"/>
    <w:rsid w:val="00635D72"/>
    <w:rsid w:val="006439B7"/>
    <w:rsid w:val="006464D9"/>
    <w:rsid w:val="006533D8"/>
    <w:rsid w:val="006706E0"/>
    <w:rsid w:val="006719E7"/>
    <w:rsid w:val="006745A3"/>
    <w:rsid w:val="0068681F"/>
    <w:rsid w:val="0069240B"/>
    <w:rsid w:val="00694CF2"/>
    <w:rsid w:val="00695BF5"/>
    <w:rsid w:val="006A06CA"/>
    <w:rsid w:val="006B4DCF"/>
    <w:rsid w:val="006E64B4"/>
    <w:rsid w:val="006F2EDE"/>
    <w:rsid w:val="006F3A3F"/>
    <w:rsid w:val="006F7ED0"/>
    <w:rsid w:val="00721272"/>
    <w:rsid w:val="0074281D"/>
    <w:rsid w:val="00743B41"/>
    <w:rsid w:val="007465AC"/>
    <w:rsid w:val="00753AC7"/>
    <w:rsid w:val="0076271E"/>
    <w:rsid w:val="00765B0B"/>
    <w:rsid w:val="00772748"/>
    <w:rsid w:val="00772F45"/>
    <w:rsid w:val="00776B1D"/>
    <w:rsid w:val="00777FDB"/>
    <w:rsid w:val="00780442"/>
    <w:rsid w:val="00783159"/>
    <w:rsid w:val="00797128"/>
    <w:rsid w:val="007A1117"/>
    <w:rsid w:val="007A18AA"/>
    <w:rsid w:val="007B30A7"/>
    <w:rsid w:val="007B42A4"/>
    <w:rsid w:val="007B5E08"/>
    <w:rsid w:val="007B6FA3"/>
    <w:rsid w:val="007B72D0"/>
    <w:rsid w:val="007C031B"/>
    <w:rsid w:val="007C04BB"/>
    <w:rsid w:val="007C5A5B"/>
    <w:rsid w:val="007D7D11"/>
    <w:rsid w:val="007E15E2"/>
    <w:rsid w:val="007F1C01"/>
    <w:rsid w:val="007F4E4C"/>
    <w:rsid w:val="007F7C18"/>
    <w:rsid w:val="00801F07"/>
    <w:rsid w:val="00806028"/>
    <w:rsid w:val="0080716C"/>
    <w:rsid w:val="00822772"/>
    <w:rsid w:val="00823EA8"/>
    <w:rsid w:val="0082429C"/>
    <w:rsid w:val="00832B27"/>
    <w:rsid w:val="00834FC1"/>
    <w:rsid w:val="00835E4A"/>
    <w:rsid w:val="00837019"/>
    <w:rsid w:val="00842AFA"/>
    <w:rsid w:val="00846C84"/>
    <w:rsid w:val="0084781A"/>
    <w:rsid w:val="008642E0"/>
    <w:rsid w:val="00884A92"/>
    <w:rsid w:val="0089027C"/>
    <w:rsid w:val="00890B2B"/>
    <w:rsid w:val="00894243"/>
    <w:rsid w:val="008964A1"/>
    <w:rsid w:val="008A35C8"/>
    <w:rsid w:val="008A7812"/>
    <w:rsid w:val="008B103D"/>
    <w:rsid w:val="008B4403"/>
    <w:rsid w:val="008C4727"/>
    <w:rsid w:val="008C7DC7"/>
    <w:rsid w:val="008D20CC"/>
    <w:rsid w:val="008D574C"/>
    <w:rsid w:val="008E0DF4"/>
    <w:rsid w:val="008E3BFC"/>
    <w:rsid w:val="008F026C"/>
    <w:rsid w:val="00922DDB"/>
    <w:rsid w:val="00943607"/>
    <w:rsid w:val="00960FDB"/>
    <w:rsid w:val="00962010"/>
    <w:rsid w:val="0096630B"/>
    <w:rsid w:val="00966B7C"/>
    <w:rsid w:val="00981891"/>
    <w:rsid w:val="00981DEB"/>
    <w:rsid w:val="00984F26"/>
    <w:rsid w:val="00994F4D"/>
    <w:rsid w:val="009B250E"/>
    <w:rsid w:val="009B6418"/>
    <w:rsid w:val="009C31A8"/>
    <w:rsid w:val="009C4A77"/>
    <w:rsid w:val="009E2FFE"/>
    <w:rsid w:val="009F61CB"/>
    <w:rsid w:val="009F7DB4"/>
    <w:rsid w:val="00A02270"/>
    <w:rsid w:val="00A04A7A"/>
    <w:rsid w:val="00A070C6"/>
    <w:rsid w:val="00A2503B"/>
    <w:rsid w:val="00A27D7C"/>
    <w:rsid w:val="00A30F22"/>
    <w:rsid w:val="00A42540"/>
    <w:rsid w:val="00A4554A"/>
    <w:rsid w:val="00A51B54"/>
    <w:rsid w:val="00A542ED"/>
    <w:rsid w:val="00A60470"/>
    <w:rsid w:val="00A71584"/>
    <w:rsid w:val="00A81DF7"/>
    <w:rsid w:val="00A83DD9"/>
    <w:rsid w:val="00AC77B9"/>
    <w:rsid w:val="00AD7BF4"/>
    <w:rsid w:val="00AE157F"/>
    <w:rsid w:val="00AF1FE4"/>
    <w:rsid w:val="00AF2D26"/>
    <w:rsid w:val="00AF6513"/>
    <w:rsid w:val="00B00339"/>
    <w:rsid w:val="00B013D8"/>
    <w:rsid w:val="00B100E5"/>
    <w:rsid w:val="00B11FBF"/>
    <w:rsid w:val="00B13E45"/>
    <w:rsid w:val="00B15071"/>
    <w:rsid w:val="00B202BC"/>
    <w:rsid w:val="00B23301"/>
    <w:rsid w:val="00B25880"/>
    <w:rsid w:val="00B326A9"/>
    <w:rsid w:val="00B40CD8"/>
    <w:rsid w:val="00B453BC"/>
    <w:rsid w:val="00B45BCC"/>
    <w:rsid w:val="00B577D9"/>
    <w:rsid w:val="00B63375"/>
    <w:rsid w:val="00B660F1"/>
    <w:rsid w:val="00B90187"/>
    <w:rsid w:val="00BA1B46"/>
    <w:rsid w:val="00BB06D8"/>
    <w:rsid w:val="00BB2D8C"/>
    <w:rsid w:val="00BC0789"/>
    <w:rsid w:val="00BC6077"/>
    <w:rsid w:val="00BD18FD"/>
    <w:rsid w:val="00BD3370"/>
    <w:rsid w:val="00BD4BBA"/>
    <w:rsid w:val="00BF6E28"/>
    <w:rsid w:val="00C0140A"/>
    <w:rsid w:val="00C104F9"/>
    <w:rsid w:val="00C10927"/>
    <w:rsid w:val="00C21509"/>
    <w:rsid w:val="00C215C6"/>
    <w:rsid w:val="00C36ECD"/>
    <w:rsid w:val="00C50B79"/>
    <w:rsid w:val="00C5116A"/>
    <w:rsid w:val="00C5166A"/>
    <w:rsid w:val="00C52D93"/>
    <w:rsid w:val="00C5472D"/>
    <w:rsid w:val="00C60C7B"/>
    <w:rsid w:val="00C654DB"/>
    <w:rsid w:val="00C72C72"/>
    <w:rsid w:val="00C735CB"/>
    <w:rsid w:val="00C74CA5"/>
    <w:rsid w:val="00C77DF3"/>
    <w:rsid w:val="00C85D2C"/>
    <w:rsid w:val="00C87058"/>
    <w:rsid w:val="00C8788A"/>
    <w:rsid w:val="00C90F94"/>
    <w:rsid w:val="00C9320A"/>
    <w:rsid w:val="00C93437"/>
    <w:rsid w:val="00C95BE0"/>
    <w:rsid w:val="00C9694C"/>
    <w:rsid w:val="00CA0856"/>
    <w:rsid w:val="00CA114A"/>
    <w:rsid w:val="00CA1FDF"/>
    <w:rsid w:val="00CA4D0E"/>
    <w:rsid w:val="00CB0FA9"/>
    <w:rsid w:val="00CB310C"/>
    <w:rsid w:val="00CC01B6"/>
    <w:rsid w:val="00CC1ED2"/>
    <w:rsid w:val="00CC579F"/>
    <w:rsid w:val="00CC7266"/>
    <w:rsid w:val="00CC7C7D"/>
    <w:rsid w:val="00CD0676"/>
    <w:rsid w:val="00CD4C0B"/>
    <w:rsid w:val="00CD78E1"/>
    <w:rsid w:val="00CE0AB6"/>
    <w:rsid w:val="00CF5524"/>
    <w:rsid w:val="00D00BA7"/>
    <w:rsid w:val="00D01D65"/>
    <w:rsid w:val="00D020F0"/>
    <w:rsid w:val="00D044E5"/>
    <w:rsid w:val="00D1238F"/>
    <w:rsid w:val="00D131DB"/>
    <w:rsid w:val="00D200C1"/>
    <w:rsid w:val="00D225A0"/>
    <w:rsid w:val="00D27B1F"/>
    <w:rsid w:val="00D302FA"/>
    <w:rsid w:val="00D3338D"/>
    <w:rsid w:val="00D3617F"/>
    <w:rsid w:val="00D54D55"/>
    <w:rsid w:val="00D6671F"/>
    <w:rsid w:val="00D6688A"/>
    <w:rsid w:val="00D72405"/>
    <w:rsid w:val="00D73ED3"/>
    <w:rsid w:val="00D800F9"/>
    <w:rsid w:val="00D850A6"/>
    <w:rsid w:val="00DA1A2D"/>
    <w:rsid w:val="00DC51CF"/>
    <w:rsid w:val="00DC5DC3"/>
    <w:rsid w:val="00DD06ED"/>
    <w:rsid w:val="00DD6420"/>
    <w:rsid w:val="00DE0287"/>
    <w:rsid w:val="00DE2F97"/>
    <w:rsid w:val="00DE518B"/>
    <w:rsid w:val="00DE7EB5"/>
    <w:rsid w:val="00E01124"/>
    <w:rsid w:val="00E036D4"/>
    <w:rsid w:val="00E06FC3"/>
    <w:rsid w:val="00E07FFB"/>
    <w:rsid w:val="00E20C25"/>
    <w:rsid w:val="00E236E3"/>
    <w:rsid w:val="00E25B5C"/>
    <w:rsid w:val="00E331BF"/>
    <w:rsid w:val="00E367F5"/>
    <w:rsid w:val="00E4276D"/>
    <w:rsid w:val="00E56319"/>
    <w:rsid w:val="00E5704A"/>
    <w:rsid w:val="00E640A5"/>
    <w:rsid w:val="00E757E4"/>
    <w:rsid w:val="00E8479E"/>
    <w:rsid w:val="00E90757"/>
    <w:rsid w:val="00EA30CA"/>
    <w:rsid w:val="00EA4E2A"/>
    <w:rsid w:val="00EB7056"/>
    <w:rsid w:val="00EC0B0B"/>
    <w:rsid w:val="00EC6360"/>
    <w:rsid w:val="00EC758E"/>
    <w:rsid w:val="00ED2375"/>
    <w:rsid w:val="00ED33F2"/>
    <w:rsid w:val="00ED6EED"/>
    <w:rsid w:val="00EE1C7B"/>
    <w:rsid w:val="00EE283D"/>
    <w:rsid w:val="00F02AF8"/>
    <w:rsid w:val="00F02CB8"/>
    <w:rsid w:val="00F0577D"/>
    <w:rsid w:val="00F072CB"/>
    <w:rsid w:val="00F12ABE"/>
    <w:rsid w:val="00F13158"/>
    <w:rsid w:val="00F1389F"/>
    <w:rsid w:val="00F17A4A"/>
    <w:rsid w:val="00F20751"/>
    <w:rsid w:val="00F26B12"/>
    <w:rsid w:val="00F323B8"/>
    <w:rsid w:val="00F3265F"/>
    <w:rsid w:val="00F32920"/>
    <w:rsid w:val="00F32FD9"/>
    <w:rsid w:val="00F41904"/>
    <w:rsid w:val="00F51D47"/>
    <w:rsid w:val="00F54499"/>
    <w:rsid w:val="00F80319"/>
    <w:rsid w:val="00F82A0A"/>
    <w:rsid w:val="00F87D1B"/>
    <w:rsid w:val="00FA09E4"/>
    <w:rsid w:val="00FA135F"/>
    <w:rsid w:val="00FA26E1"/>
    <w:rsid w:val="00FA5791"/>
    <w:rsid w:val="00FC4378"/>
    <w:rsid w:val="00FC5545"/>
    <w:rsid w:val="00FD7B74"/>
    <w:rsid w:val="00FE5B6F"/>
    <w:rsid w:val="00FF567F"/>
    <w:rsid w:val="00FF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9D4D2-B6CF-484C-88F7-BEF8E143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3557CEFB23CC25033EDB49366B52E9D5609477AC2468AE8D23EE64E64a472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17</Pages>
  <Words>4200</Words>
  <Characters>23944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220</cp:revision>
  <cp:lastPrinted>2019-11-01T07:56:00Z</cp:lastPrinted>
  <dcterms:created xsi:type="dcterms:W3CDTF">2019-05-20T05:47:00Z</dcterms:created>
  <dcterms:modified xsi:type="dcterms:W3CDTF">2019-12-24T10:38:00Z</dcterms:modified>
</cp:coreProperties>
</file>